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firstLine="18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333" w:before="0" w:after="0"/>
        <w:ind w:left="0" w:right="0" w:firstLine="18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333" w:before="0" w:after="0"/>
        <w:ind w:left="0" w:right="0" w:firstLine="18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ind w:left="0" w:right="0" w:firstLine="90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333" w:before="0" w:after="0"/>
        <w:ind w:left="0" w:right="0" w:firstLine="180"/>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0" w:after="0"/>
        <w:ind w:left="0" w:right="0" w:firstLine="90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333" w:before="0" w:after="0"/>
        <w:ind w:left="0" w:right="0" w:firstLine="180"/>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June 30, 2026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Wingdings;sans-serif" w:hAnsi="Wingdings;sans-serif"/>
                <w:b w:val="false"/>
                <w:color w:val="000000"/>
                <w:sz w:val="20"/>
              </w:rPr>
            </w:pPr>
            <w:r>
              <w:rPr>
                <w:rFonts w:ascii="Wingdings;sans-serif" w:hAnsi="Wingdings;sans-serif"/>
                <w:b w:val="false"/>
                <w:color w:val="000000"/>
                <w:sz w:val="20"/>
              </w:rPr>
              <w:t>o</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76" w:before="0" w:after="120"/>
        <w:jc w:val="center"/>
        <w:rPr/>
      </w:pPr>
      <w:r>
        <w:rPr>
          <w:color w:val="000000"/>
        </w:rPr>
        <w:t> </w:t>
      </w:r>
      <w:r>
        <w:rPr>
          <w:rFonts w:ascii="Times New Roman;serif" w:hAnsi="Times New Roman;serif"/>
          <w:b w:val="false"/>
          <w:color w:val="000000"/>
          <w:sz w:val="18"/>
        </w:rPr>
        <w:t>For the transition period from ___________ to ______________.</w:t>
      </w:r>
    </w:p>
    <w:p>
      <w:pPr>
        <w:pStyle w:val="TextBody"/>
        <w:bidi w:val="0"/>
        <w:spacing w:lineRule="auto" w:line="192" w:before="0" w:after="0"/>
        <w:ind w:left="0" w:right="0" w:firstLine="900"/>
        <w:jc w:val="center"/>
        <w:rPr>
          <w:color w:val="000000"/>
        </w:rPr>
      </w:pPr>
      <w:r>
        <w:rPr>
          <w:color w:val="000000"/>
        </w:rPr>
        <w:t> </w:t>
      </w:r>
    </w:p>
    <w:p>
      <w:pPr>
        <w:pStyle w:val="TextBody"/>
        <w:bidi w:val="0"/>
        <w:spacing w:lineRule="auto" w:line="333" w:before="0" w:after="0"/>
        <w:ind w:left="0" w:right="0" w:firstLine="180"/>
        <w:jc w:val="center"/>
        <w:rPr>
          <w:rFonts w:ascii="Times New Roman;serif" w:hAnsi="Times New Roman;serif"/>
          <w:b/>
          <w:color w:val="000000"/>
          <w:sz w:val="18"/>
        </w:rPr>
      </w:pPr>
      <w:r>
        <w:rPr>
          <w:rFonts w:ascii="Times New Roman;serif" w:hAnsi="Times New Roman;serif"/>
          <w:b/>
          <w:color w:val="000000"/>
          <w:sz w:val="18"/>
        </w:rPr>
        <w:t>Commission file number: 001-40654</w:t>
      </w:r>
    </w:p>
    <w:p>
      <w:pPr>
        <w:pStyle w:val="TextBody"/>
        <w:bidi w:val="0"/>
        <w:spacing w:before="0" w:after="0"/>
        <w:ind w:left="0" w:right="0" w:firstLine="180"/>
        <w:jc w:val="center"/>
        <w:rPr/>
      </w:pPr>
      <w:r>
        <w:rPr/>
      </w:r>
    </w:p>
    <w:p>
      <w:pPr>
        <w:pStyle w:val="TextBody"/>
        <w:bidi w:val="0"/>
        <w:spacing w:lineRule="auto" w:line="333" w:before="0" w:after="0"/>
        <w:ind w:left="0" w:right="0" w:firstLine="180"/>
        <w:jc w:val="center"/>
        <w:rPr>
          <w:rFonts w:ascii="Times New Roman;serif" w:hAnsi="Times New Roman;serif"/>
          <w:b/>
          <w:color w:val="000000"/>
          <w:sz w:val="44"/>
        </w:rPr>
      </w:pPr>
      <w:r>
        <w:rPr>
          <w:rFonts w:ascii="Times New Roman;serif" w:hAnsi="Times New Roman;serif"/>
          <w:b/>
          <w:color w:val="000000"/>
          <w:sz w:val="44"/>
        </w:rPr>
        <w:t xml:space="preserve">CONTEXT THERAPEUTICS INC. </w:t>
      </w:r>
    </w:p>
    <w:p>
      <w:pPr>
        <w:pStyle w:val="TextBody"/>
        <w:bidi w:val="0"/>
        <w:spacing w:lineRule="auto" w:line="333" w:before="0" w:after="0"/>
        <w:ind w:left="0" w:right="0" w:firstLine="18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192" w:before="0" w:after="0"/>
        <w:ind w:left="0" w:right="0" w:firstLine="9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192" w:before="0" w:after="0"/>
        <w:ind w:left="0" w:right="0" w:firstLine="900"/>
        <w:jc w:val="left"/>
        <w:rPr>
          <w:color w:val="000000"/>
        </w:rPr>
      </w:pPr>
      <w:r>
        <w:rPr>
          <w:color w:val="000000"/>
        </w:rPr>
        <w:t> </w:t>
      </w:r>
    </w:p>
    <w:tbl>
      <w:tblPr>
        <w:tblW w:w="7273" w:type="dxa"/>
        <w:jc w:val="left"/>
        <w:tblInd w:w="0" w:type="dxa"/>
        <w:tblLayout w:type="fixed"/>
        <w:tblCellMar>
          <w:top w:w="28" w:type="dxa"/>
          <w:left w:w="28" w:type="dxa"/>
          <w:bottom w:w="28" w:type="dxa"/>
          <w:right w:w="28" w:type="dxa"/>
        </w:tblCellMar>
      </w:tblPr>
      <w:tblGrid>
        <w:gridCol w:w="1549"/>
        <w:gridCol w:w="1360"/>
        <w:gridCol w:w="1380"/>
        <w:gridCol w:w="871"/>
        <w:gridCol w:w="871"/>
        <w:gridCol w:w="1242"/>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Delaware</w:t>
            </w:r>
          </w:p>
        </w:tc>
        <w:tc>
          <w:tcPr>
            <w:tcW w:w="298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86-3738787</w:t>
            </w:r>
          </w:p>
        </w:tc>
      </w:tr>
      <w:tr>
        <w:trPr/>
        <w:tc>
          <w:tcPr>
            <w:tcW w:w="428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7"/>
              </w:rPr>
            </w:pPr>
            <w:r>
              <w:rPr>
                <w:rFonts w:ascii="Times New Roman;serif" w:hAnsi="Times New Roman;serif"/>
                <w:b w:val="false"/>
                <w:color w:val="000000"/>
                <w:sz w:val="17"/>
              </w:rPr>
              <w:t>(State or other jurisdiction of incorporation or organization)</w:t>
            </w:r>
          </w:p>
        </w:tc>
        <w:tc>
          <w:tcPr>
            <w:tcW w:w="298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7"/>
              </w:rPr>
            </w:pPr>
            <w:r>
              <w:rPr>
                <w:rFonts w:ascii="Times New Roman;serif" w:hAnsi="Times New Roman;serif"/>
                <w:b w:val="false"/>
                <w:color w:val="000000"/>
                <w:sz w:val="17"/>
              </w:rPr>
              <w:t>(I.R.S. Employer Identification Number)</w:t>
            </w:r>
          </w:p>
        </w:tc>
      </w:tr>
    </w:tbl>
    <w:p>
      <w:pPr>
        <w:pStyle w:val="TextBody"/>
        <w:bidi w:val="0"/>
        <w:spacing w:lineRule="auto" w:line="276" w:before="120" w:after="283"/>
        <w:jc w:val="center"/>
        <w:rPr>
          <w:rFonts w:ascii="Times New Roman;serif" w:hAnsi="Times New Roman;serif"/>
          <w:b/>
          <w:color w:val="000000"/>
          <w:sz w:val="18"/>
        </w:rPr>
      </w:pPr>
      <w:r>
        <w:rPr>
          <w:rFonts w:ascii="Times New Roman;serif" w:hAnsi="Times New Roman;serif"/>
          <w:b/>
          <w:color w:val="000000"/>
          <w:sz w:val="18"/>
        </w:rPr>
        <w:t xml:space="preserve">2001 Market Street, Suite 3915, Unit #15 </w:t>
      </w:r>
    </w:p>
    <w:p>
      <w:pPr>
        <w:pStyle w:val="TextBody"/>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 xml:space="preserve">Philadelphia, Pennsylvania 19103 </w:t>
      </w:r>
    </w:p>
    <w:p>
      <w:pPr>
        <w:pStyle w:val="TextBody"/>
        <w:bidi w:val="0"/>
        <w:spacing w:lineRule="auto" w:line="276" w:before="1" w:after="1"/>
        <w:jc w:val="center"/>
        <w:rPr>
          <w:rFonts w:ascii="Times New Roman;serif" w:hAnsi="Times New Roman;serif"/>
          <w:b w:val="false"/>
          <w:color w:val="000000"/>
          <w:sz w:val="17"/>
        </w:rPr>
      </w:pPr>
      <w:r>
        <w:rPr>
          <w:rFonts w:ascii="Times New Roman;serif" w:hAnsi="Times New Roman;serif"/>
          <w:b w:val="false"/>
          <w:color w:val="000000"/>
          <w:sz w:val="17"/>
        </w:rPr>
        <w:t>(Address of principal executive offices, including zip code)</w:t>
      </w:r>
    </w:p>
    <w:p>
      <w:pPr>
        <w:pStyle w:val="TextBody"/>
        <w:bidi w:val="0"/>
        <w:spacing w:before="0" w:after="0"/>
        <w:jc w:val="center"/>
        <w:rPr/>
      </w:pPr>
      <w:r>
        <w:rPr/>
      </w:r>
    </w:p>
    <w:p>
      <w:pPr>
        <w:pStyle w:val="TextBody"/>
        <w:bidi w:val="0"/>
        <w:spacing w:lineRule="auto" w:line="276" w:before="1" w:after="1"/>
        <w:jc w:val="center"/>
        <w:rPr>
          <w:rFonts w:ascii="Times New Roman;serif" w:hAnsi="Times New Roman;serif"/>
          <w:b/>
          <w:color w:val="000000"/>
          <w:sz w:val="18"/>
        </w:rPr>
      </w:pPr>
      <w:r>
        <w:rPr>
          <w:rFonts w:ascii="Times New Roman;serif" w:hAnsi="Times New Roman;serif"/>
          <w:b/>
          <w:color w:val="000000"/>
          <w:sz w:val="18"/>
        </w:rPr>
        <w:t xml:space="preserve">(267) 225-7416 </w:t>
      </w:r>
    </w:p>
    <w:p>
      <w:pPr>
        <w:pStyle w:val="TextBody"/>
        <w:bidi w:val="0"/>
        <w:spacing w:lineRule="auto" w:line="276" w:before="0" w:after="0"/>
        <w:jc w:val="center"/>
        <w:rPr>
          <w:rFonts w:ascii="Times New Roman;serif" w:hAnsi="Times New Roman;serif"/>
          <w:b w:val="false"/>
          <w:color w:val="000000"/>
          <w:sz w:val="17"/>
        </w:rPr>
      </w:pPr>
      <w:r>
        <w:rPr>
          <w:rFonts w:ascii="Times New Roman;serif" w:hAnsi="Times New Roman;serif"/>
          <w:b w:val="false"/>
          <w:color w:val="000000"/>
          <w:sz w:val="17"/>
        </w:rPr>
        <w:t>(Registrant’s telephone number, including area code)</w:t>
      </w:r>
    </w:p>
    <w:p>
      <w:pPr>
        <w:pStyle w:val="TextBody"/>
        <w:bidi w:val="0"/>
        <w:spacing w:before="0" w:after="0"/>
        <w:jc w:val="center"/>
        <w:rPr/>
      </w:pPr>
      <w:r>
        <w:rPr/>
      </w:r>
    </w:p>
    <w:tbl>
      <w:tblPr>
        <w:tblW w:w="8069" w:type="dxa"/>
        <w:jc w:val="center"/>
        <w:tblInd w:w="0" w:type="dxa"/>
        <w:tblLayout w:type="fixed"/>
        <w:tblCellMar>
          <w:top w:w="28" w:type="dxa"/>
          <w:left w:w="28" w:type="dxa"/>
          <w:bottom w:w="28" w:type="dxa"/>
          <w:right w:w="28" w:type="dxa"/>
        </w:tblCellMar>
      </w:tblPr>
      <w:tblGrid>
        <w:gridCol w:w="1143"/>
        <w:gridCol w:w="1003"/>
        <w:gridCol w:w="1003"/>
        <w:gridCol w:w="485"/>
        <w:gridCol w:w="485"/>
        <w:gridCol w:w="485"/>
        <w:gridCol w:w="1015"/>
        <w:gridCol w:w="1015"/>
        <w:gridCol w:w="1435"/>
      </w:tblGrid>
      <w:tr>
        <w:trPr/>
        <w:tc>
          <w:tcPr>
            <w:tcW w:w="114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8069"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7"/>
              </w:rPr>
            </w:pPr>
            <w:r>
              <w:rPr>
                <w:rFonts w:ascii="Times New Roman;serif" w:hAnsi="Times New Roman;serif"/>
                <w:b w:val="false"/>
                <w:color w:val="000000"/>
                <w:sz w:val="17"/>
              </w:rPr>
              <w:t>Securities registered pursuant to Section 12(b) of the Act:</w:t>
            </w:r>
          </w:p>
        </w:tc>
      </w:tr>
      <w:tr>
        <w:trPr/>
        <w:tc>
          <w:tcPr>
            <w:tcW w:w="314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7"/>
                <w:u w:val="single"/>
              </w:rPr>
            </w:pPr>
            <w:r>
              <w:rPr>
                <w:rFonts w:ascii="Times New Roman;serif" w:hAnsi="Times New Roman;serif"/>
                <w:b/>
                <w:color w:val="000000"/>
                <w:sz w:val="17"/>
                <w:u w:val="single"/>
              </w:rPr>
              <w:t>Title of Each Class</w:t>
            </w:r>
          </w:p>
        </w:tc>
        <w:tc>
          <w:tcPr>
            <w:tcW w:w="145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7"/>
                <w:u w:val="single"/>
              </w:rPr>
            </w:pPr>
            <w:r>
              <w:rPr>
                <w:rFonts w:ascii="Times New Roman;serif" w:hAnsi="Times New Roman;serif"/>
                <w:b/>
                <w:color w:val="000000"/>
                <w:sz w:val="17"/>
                <w:u w:val="single"/>
              </w:rPr>
              <w:t>Trading Symbol(s)</w:t>
            </w:r>
          </w:p>
        </w:tc>
        <w:tc>
          <w:tcPr>
            <w:tcW w:w="346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7"/>
                <w:u w:val="single"/>
              </w:rPr>
            </w:pPr>
            <w:r>
              <w:rPr>
                <w:rFonts w:ascii="Times New Roman;serif" w:hAnsi="Times New Roman;serif"/>
                <w:b/>
                <w:color w:val="000000"/>
                <w:sz w:val="17"/>
                <w:u w:val="single"/>
              </w:rPr>
              <w:t>Name of Each Exchange on Which Registered</w:t>
            </w:r>
          </w:p>
        </w:tc>
      </w:tr>
      <w:tr>
        <w:trPr/>
        <w:tc>
          <w:tcPr>
            <w:tcW w:w="314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7"/>
              </w:rPr>
            </w:pPr>
            <w:r>
              <w:rPr>
                <w:rFonts w:ascii="Times New Roman;serif" w:hAnsi="Times New Roman;serif"/>
                <w:b w:val="false"/>
                <w:color w:val="000000"/>
                <w:sz w:val="17"/>
              </w:rPr>
              <w:t>Common Stock, par value $0.001 per share</w:t>
            </w:r>
          </w:p>
        </w:tc>
        <w:tc>
          <w:tcPr>
            <w:tcW w:w="145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7"/>
              </w:rPr>
            </w:pPr>
            <w:r>
              <w:rPr>
                <w:rFonts w:ascii="Times New Roman;serif" w:hAnsi="Times New Roman;serif"/>
                <w:b w:val="false"/>
                <w:color w:val="000000"/>
                <w:sz w:val="17"/>
              </w:rPr>
              <w:t>CNTX</w:t>
            </w:r>
          </w:p>
        </w:tc>
        <w:tc>
          <w:tcPr>
            <w:tcW w:w="346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7"/>
              </w:rPr>
            </w:pPr>
            <w:r>
              <w:rPr>
                <w:rFonts w:ascii="Times New Roman;serif" w:hAnsi="Times New Roman;serif"/>
                <w:b w:val="false"/>
                <w:color w:val="000000"/>
                <w:sz w:val="17"/>
              </w:rPr>
              <w:t>The Nasdaq Stock Market LLC</w:t>
            </w:r>
          </w:p>
        </w:tc>
      </w:tr>
    </w:tbl>
    <w:p>
      <w:pPr>
        <w:pStyle w:val="TextBody"/>
        <w:bidi w:val="0"/>
        <w:spacing w:lineRule="auto" w:line="333" w:before="0" w:after="0"/>
        <w:ind w:left="0" w:right="0" w:firstLine="900"/>
        <w:jc w:val="left"/>
        <w:rPr/>
      </w:pPr>
      <w:r>
        <w:rPr>
          <w:rFonts w:ascii="Times New Roman;serif" w:hAnsi="Times New Roman;serif"/>
          <w:b w:val="false"/>
          <w:color w:val="000000"/>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7"/>
        </w:rPr>
        <w:t xml:space="preserve">No  </w:t>
      </w:r>
      <w:r>
        <w:rPr>
          <w:rFonts w:ascii="Wingdings;sans-serif" w:hAnsi="Wingdings;sans-serif"/>
          <w:b w:val="false"/>
          <w:color w:val="000000"/>
          <w:sz w:val="17"/>
        </w:rPr>
        <w:t>o</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17"/>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7"/>
        </w:rPr>
        <w:t xml:space="preserve">No  </w:t>
      </w:r>
      <w:r>
        <w:rPr>
          <w:rFonts w:ascii="Wingdings;sans-serif" w:hAnsi="Wingdings;sans-serif"/>
          <w:b w:val="false"/>
          <w:color w:val="000000"/>
          <w:sz w:val="17"/>
        </w:rPr>
        <w:t>o</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7"/>
        </w:rPr>
      </w:pPr>
      <w:r>
        <w:rPr>
          <w:rFonts w:ascii="Times New Roman;serif" w:hAnsi="Times New Roman;serif"/>
          <w:b w:val="false"/>
          <w:color w:val="000000"/>
          <w:sz w:val="17"/>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716"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673"/>
        <w:gridCol w:w="673"/>
        <w:gridCol w:w="678"/>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7"/>
              </w:rPr>
            </w:pPr>
            <w:r>
              <w:rPr>
                <w:rFonts w:ascii="Times New Roman;serif" w:hAnsi="Times New Roman;serif"/>
                <w:b w:val="false"/>
                <w:color w:val="000000"/>
                <w:sz w:val="17"/>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7"/>
              </w:rPr>
            </w:pPr>
            <w:r>
              <w:rPr>
                <w:rFonts w:ascii="Times New Roman;serif" w:hAnsi="Times New Roman;serif"/>
                <w:b w:val="false"/>
                <w:color w:val="000000"/>
                <w:sz w:val="17"/>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
              <w:jc w:val="center"/>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7"/>
              </w:rPr>
            </w:pPr>
            <w:r>
              <w:rPr>
                <w:rFonts w:ascii="Times New Roman;serif" w:hAnsi="Times New Roman;serif"/>
                <w:b w:val="false"/>
                <w:color w:val="000000"/>
                <w:sz w:val="17"/>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7"/>
              </w:rPr>
            </w:pPr>
            <w:r>
              <w:rPr>
                <w:rFonts w:ascii="Times New Roman;serif" w:hAnsi="Times New Roman;serif"/>
                <w:b w:val="false"/>
                <w:color w:val="000000"/>
                <w:sz w:val="17"/>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
              <w:jc w:val="center"/>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7"/>
              </w:rPr>
            </w:pPr>
            <w:r>
              <w:rPr>
                <w:rFonts w:ascii="Times New Roman;serif" w:hAnsi="Times New Roman;serif"/>
                <w:b w:val="false"/>
                <w:color w:val="000000"/>
                <w:sz w:val="17"/>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
              <w:jc w:val="center"/>
              <w:rPr>
                <w:color w:val="000000"/>
              </w:rPr>
            </w:pPr>
            <w:r>
              <w:rPr>
                <w:color w:val="000000"/>
              </w:rPr>
              <w:t>☒</w:t>
            </w:r>
          </w:p>
        </w:tc>
      </w:tr>
    </w:tbl>
    <w:p>
      <w:pPr>
        <w:pStyle w:val="TextBody"/>
        <w:bidi w:val="0"/>
        <w:spacing w:lineRule="auto" w:line="333" w:before="0" w:after="0"/>
        <w:jc w:val="left"/>
        <w:rPr/>
      </w:pPr>
      <w:r>
        <w:rPr>
          <w:rFonts w:ascii="Times New Roman;serif" w:hAnsi="Times New Roman;serif"/>
          <w:b w:val="false"/>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17"/>
        </w:rPr>
        <w:t>Indicate by check mark whether the registrant is a shell company (as defined in Rule 12b-2 of the Exchange Act). Yes </w:t>
      </w:r>
      <w:r>
        <w:rPr>
          <w:rFonts w:ascii="Wingdings;sans-serif" w:hAnsi="Wingdings;sans-serif"/>
          <w:b w:val="false"/>
          <w:color w:val="000000"/>
          <w:sz w:val="17"/>
        </w:rPr>
        <w:t>o</w:t>
      </w:r>
      <w:r>
        <w:rPr>
          <w:color w:val="000000"/>
        </w:rPr>
        <w:t>  </w:t>
      </w:r>
      <w:r>
        <w:rPr>
          <w:rFonts w:ascii="Times New Roman;serif" w:hAnsi="Times New Roman;serif"/>
          <w:b w:val="false"/>
          <w:color w:val="000000"/>
          <w:sz w:val="17"/>
        </w:rPr>
        <w:t>No </w:t>
      </w:r>
      <w:r>
        <w:rPr>
          <w:color w:val="000000"/>
        </w:rPr>
        <w:t>☒</w:t>
      </w:r>
    </w:p>
    <w:p>
      <w:pPr>
        <w:pStyle w:val="TextBody"/>
        <w:bidi w:val="0"/>
        <w:spacing w:before="0" w:after="0"/>
        <w:ind w:left="0" w:right="0" w:firstLine="900"/>
        <w:jc w:val="left"/>
        <w:rPr/>
      </w:pPr>
      <w:r>
        <w:rPr/>
      </w:r>
    </w:p>
    <w:p>
      <w:pPr>
        <w:pStyle w:val="TextBody"/>
        <w:bidi w:val="0"/>
        <w:spacing w:lineRule="auto" w:line="276" w:before="0" w:after="0"/>
        <w:jc w:val="left"/>
        <w:rPr>
          <w:rFonts w:ascii="Times New Roman;serif" w:hAnsi="Times New Roman;serif"/>
          <w:b w:val="false"/>
          <w:color w:val="000000"/>
          <w:sz w:val="17"/>
        </w:rPr>
      </w:pPr>
      <w:r>
        <w:rPr>
          <w:rFonts w:ascii="Times New Roman;serif" w:hAnsi="Times New Roman;serif"/>
          <w:b w:val="false"/>
          <w:color w:val="000000"/>
          <w:sz w:val="17"/>
        </w:rPr>
        <w:t>The number of shares of common stock outstanding at August 3, 2026 was 91,879,177 shares.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INDEX TO FORM 10-Q </w:t>
      </w:r>
    </w:p>
    <w:p>
      <w:pPr>
        <w:pStyle w:val="TextBody"/>
        <w:bidi w:val="0"/>
        <w:spacing w:lineRule="auto" w:line="333" w:before="0" w:after="0"/>
        <w:ind w:left="0" w:right="0" w:firstLine="900"/>
        <w:jc w:val="left"/>
        <w:rPr>
          <w:color w:val="000000"/>
        </w:rPr>
      </w:pPr>
      <w:r>
        <w:rPr>
          <w:color w:val="000000"/>
        </w:rPr>
        <w:t> </w:t>
      </w:r>
    </w:p>
    <w:tbl>
      <w:tblPr>
        <w:tblW w:w="8670" w:type="dxa"/>
        <w:jc w:val="left"/>
        <w:tblInd w:w="0" w:type="dxa"/>
        <w:tblLayout w:type="fixed"/>
        <w:tblCellMar>
          <w:top w:w="28" w:type="dxa"/>
          <w:left w:w="28" w:type="dxa"/>
          <w:bottom w:w="28" w:type="dxa"/>
          <w:right w:w="28" w:type="dxa"/>
        </w:tblCellMar>
      </w:tblPr>
      <w:tblGrid>
        <w:gridCol w:w="2945"/>
        <w:gridCol w:w="2590"/>
        <w:gridCol w:w="2594"/>
        <w:gridCol w:w="158"/>
        <w:gridCol w:w="158"/>
        <w:gridCol w:w="225"/>
      </w:tblGrid>
      <w:tr>
        <w:trPr/>
        <w:tc>
          <w:tcPr>
            <w:tcW w:w="2945"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p>
        </w:tc>
      </w:tr>
      <w:tr>
        <w:trPr/>
        <w:tc>
          <w:tcPr>
            <w:tcW w:w="81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10">
              <w:r>
                <w:rPr>
                  <w:rStyle w:val="InternetLink"/>
                  <w:rFonts w:ascii="Times New Roman;serif" w:hAnsi="Times New Roman;serif"/>
                  <w:b w:val="false"/>
                  <w:color w:val="0000FF"/>
                  <w:sz w:val="20"/>
                  <w:u w:val="single"/>
                </w:rPr>
                <w:t>NOTE REGARDING FORWARD-LOOKING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10">
              <w:r>
                <w:rPr>
                  <w:rStyle w:val="InternetLink"/>
                  <w:rFonts w:ascii="Times New Roman;serif" w:hAnsi="Times New Roman;serif"/>
                  <w:b w:val="false"/>
                  <w:color w:val="0000FF"/>
                  <w:sz w:val="20"/>
                  <w:u w:val="single"/>
                </w:rPr>
                <w:t>3</w:t>
              </w:r>
            </w:hyperlink>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pPr>
            <w:hyperlink w:anchor="i1c19ff4c200048778457d4b9ac6d27e9_16">
              <w:r>
                <w:rPr>
                  <w:rStyle w:val="InternetLink"/>
                  <w:rFonts w:ascii="Times New Roman;serif" w:hAnsi="Times New Roman;serif"/>
                  <w:b w:val="false"/>
                  <w:color w:val="0000FF"/>
                  <w:sz w:val="20"/>
                  <w:u w:val="single"/>
                </w:rPr>
                <w:t>PART I – FINANCIAL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16">
              <w:r>
                <w:rPr>
                  <w:rStyle w:val="InternetLink"/>
                  <w:rFonts w:ascii="Times New Roman;serif" w:hAnsi="Times New Roman;serif"/>
                  <w:b w:val="false"/>
                  <w:color w:val="0000FF"/>
                  <w:sz w:val="20"/>
                  <w:u w:val="single"/>
                </w:rPr>
                <w:t>6</w:t>
              </w:r>
            </w:hyperlink>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19">
              <w:r>
                <w:rPr>
                  <w:rStyle w:val="InternetLink"/>
                  <w:rFonts w:ascii="Times New Roman;serif" w:hAnsi="Times New Roman;serif"/>
                  <w:b w:val="false"/>
                  <w:color w:val="0000FF"/>
                  <w:sz w:val="20"/>
                  <w:u w:val="single"/>
                </w:rPr>
                <w:t>Item 1.     Financial Statements (unaudited)</w:t>
              </w:r>
            </w:hyperlink>
            <w:r>
              <w:rPr>
                <w:rFonts w:ascii="Times New Roman;serif" w:hAnsi="Times New Roman;serif"/>
                <w:b w:val="false"/>
                <w:color w:val="000000"/>
                <w:sz w:val="20"/>
              </w:rPr>
              <w:t>:</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19">
              <w:r>
                <w:rPr>
                  <w:rStyle w:val="InternetLink"/>
                  <w:rFonts w:ascii="Times New Roman;serif" w:hAnsi="Times New Roman;serif"/>
                  <w:b w:val="false"/>
                  <w:color w:val="0000FF"/>
                  <w:sz w:val="20"/>
                  <w:u w:val="single"/>
                </w:rPr>
                <w:t>6</w:t>
              </w:r>
            </w:hyperlink>
          </w:p>
        </w:tc>
      </w:tr>
      <w:tr>
        <w:trPr/>
        <w:tc>
          <w:tcPr>
            <w:tcW w:w="81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22">
              <w:r>
                <w:rPr>
                  <w:rStyle w:val="InternetLink"/>
                  <w:rFonts w:ascii="Times New Roman;serif" w:hAnsi="Times New Roman;serif"/>
                  <w:b w:val="false"/>
                  <w:color w:val="0000FF"/>
                  <w:sz w:val="20"/>
                  <w:u w:val="single"/>
                </w:rPr>
                <w:t>Condensed Consolidated Balance Sheets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22">
              <w:r>
                <w:rPr>
                  <w:rStyle w:val="InternetLink"/>
                  <w:rFonts w:ascii="Times New Roman;serif" w:hAnsi="Times New Roman;serif"/>
                  <w:b w:val="false"/>
                  <w:color w:val="0000FF"/>
                  <w:sz w:val="20"/>
                  <w:u w:val="single"/>
                </w:rPr>
                <w:t>6</w:t>
              </w:r>
            </w:hyperlink>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25">
              <w:r>
                <w:rPr>
                  <w:rStyle w:val="InternetLink"/>
                  <w:rFonts w:ascii="Times New Roman;serif" w:hAnsi="Times New Roman;serif"/>
                  <w:b w:val="false"/>
                  <w:color w:val="0000FF"/>
                  <w:sz w:val="20"/>
                  <w:u w:val="single"/>
                </w:rPr>
                <w:t>Condensed Consolidated Statements of Operations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25">
              <w:r>
                <w:rPr>
                  <w:rStyle w:val="InternetLink"/>
                  <w:rFonts w:ascii="Times New Roman;serif" w:hAnsi="Times New Roman;serif"/>
                  <w:b w:val="false"/>
                  <w:color w:val="0000FF"/>
                  <w:sz w:val="20"/>
                  <w:u w:val="single"/>
                </w:rPr>
                <w:t>7</w:t>
              </w:r>
            </w:hyperlink>
          </w:p>
        </w:tc>
      </w:tr>
      <w:tr>
        <w:trPr/>
        <w:tc>
          <w:tcPr>
            <w:tcW w:w="81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28">
              <w:r>
                <w:rPr>
                  <w:rStyle w:val="InternetLink"/>
                  <w:rFonts w:ascii="Times New Roman;serif" w:hAnsi="Times New Roman;serif"/>
                  <w:b w:val="false"/>
                  <w:color w:val="0000FF"/>
                  <w:sz w:val="20"/>
                  <w:u w:val="single"/>
                </w:rPr>
                <w:t>Condensed Consolidated Statements of Changes in Stockholders’ Equity</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28">
              <w:r>
                <w:rPr>
                  <w:rStyle w:val="InternetLink"/>
                  <w:rFonts w:ascii="Times New Roman;serif" w:hAnsi="Times New Roman;serif"/>
                  <w:b w:val="false"/>
                  <w:color w:val="0000FF"/>
                  <w:sz w:val="20"/>
                  <w:u w:val="single"/>
                </w:rPr>
                <w:t>8</w:t>
              </w:r>
            </w:hyperlink>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31">
              <w:r>
                <w:rPr>
                  <w:rStyle w:val="InternetLink"/>
                  <w:rFonts w:ascii="Times New Roman;serif" w:hAnsi="Times New Roman;serif"/>
                  <w:b w:val="false"/>
                  <w:color w:val="0000FF"/>
                  <w:sz w:val="20"/>
                  <w:u w:val="single"/>
                </w:rPr>
                <w:t>Condensed Consolidated Statements of Cash Flows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31">
              <w:r>
                <w:rPr>
                  <w:rStyle w:val="InternetLink"/>
                  <w:rFonts w:ascii="Times New Roman;serif" w:hAnsi="Times New Roman;serif"/>
                  <w:b w:val="false"/>
                  <w:color w:val="0000FF"/>
                  <w:sz w:val="20"/>
                  <w:u w:val="single"/>
                </w:rPr>
                <w:t>9</w:t>
              </w:r>
            </w:hyperlink>
          </w:p>
        </w:tc>
      </w:tr>
      <w:tr>
        <w:trPr/>
        <w:tc>
          <w:tcPr>
            <w:tcW w:w="81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34">
              <w:r>
                <w:rPr>
                  <w:rStyle w:val="InternetLink"/>
                  <w:rFonts w:ascii="Times New Roman;serif" w:hAnsi="Times New Roman;serif"/>
                  <w:b w:val="false"/>
                  <w:color w:val="0000FF"/>
                  <w:sz w:val="20"/>
                  <w:u w:val="single"/>
                </w:rPr>
                <w:t>Notes to the Unaudited Condensed Consolidated Financial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34">
              <w:r>
                <w:rPr>
                  <w:rStyle w:val="InternetLink"/>
                  <w:rFonts w:ascii="Times New Roman;serif" w:hAnsi="Times New Roman;serif"/>
                  <w:b w:val="false"/>
                  <w:color w:val="0000FF"/>
                  <w:sz w:val="20"/>
                  <w:u w:val="single"/>
                </w:rPr>
                <w:t>10</w:t>
              </w:r>
            </w:hyperlink>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61">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61">
              <w:r>
                <w:rPr>
                  <w:rStyle w:val="InternetLink"/>
                  <w:rFonts w:ascii="Times New Roman;serif" w:hAnsi="Times New Roman;serif"/>
                  <w:b w:val="false"/>
                  <w:color w:val="0000FF"/>
                  <w:sz w:val="20"/>
                  <w:u w:val="single"/>
                </w:rPr>
                <w:t>22</w:t>
              </w:r>
            </w:hyperlink>
          </w:p>
        </w:tc>
      </w:tr>
      <w:tr>
        <w:trPr/>
        <w:tc>
          <w:tcPr>
            <w:tcW w:w="81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88">
              <w:r>
                <w:rPr>
                  <w:rStyle w:val="InternetLink"/>
                  <w:rFonts w:ascii="Times New Roman;serif" w:hAnsi="Times New Roman;serif"/>
                  <w:b w:val="false"/>
                  <w:color w:val="0000FF"/>
                  <w:sz w:val="20"/>
                  <w:u w:val="single"/>
                </w:rPr>
                <w:t>Item 3.     Quantitative and Qualitative Disclosures About Market Risk</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88">
              <w:r>
                <w:rPr>
                  <w:rStyle w:val="InternetLink"/>
                  <w:rFonts w:ascii="Times New Roman;serif" w:hAnsi="Times New Roman;serif"/>
                  <w:b w:val="false"/>
                  <w:color w:val="0000FF"/>
                  <w:sz w:val="20"/>
                  <w:u w:val="single"/>
                </w:rPr>
                <w:t>33</w:t>
              </w:r>
            </w:hyperlink>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91">
              <w:r>
                <w:rPr>
                  <w:rStyle w:val="InternetLink"/>
                  <w:rFonts w:ascii="Times New Roman;serif" w:hAnsi="Times New Roman;serif"/>
                  <w:b w:val="false"/>
                  <w:color w:val="0000FF"/>
                  <w:sz w:val="20"/>
                  <w:u w:val="single"/>
                </w:rPr>
                <w:t>Item 4.     Controls and Procedures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91">
              <w:r>
                <w:rPr>
                  <w:rStyle w:val="InternetLink"/>
                  <w:rFonts w:ascii="Times New Roman;serif" w:hAnsi="Times New Roman;serif"/>
                  <w:b w:val="false"/>
                  <w:color w:val="0000FF"/>
                  <w:sz w:val="20"/>
                  <w:u w:val="single"/>
                </w:rPr>
                <w:t>33</w:t>
              </w:r>
            </w:hyperlink>
          </w:p>
        </w:tc>
      </w:tr>
      <w:tr>
        <w:trPr/>
        <w:tc>
          <w:tcPr>
            <w:tcW w:w="8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pPr>
            <w:hyperlink w:anchor="i1c19ff4c200048778457d4b9ac6d27e9_94">
              <w:r>
                <w:rPr>
                  <w:rStyle w:val="InternetLink"/>
                  <w:rFonts w:ascii="Times New Roman;serif" w:hAnsi="Times New Roman;serif"/>
                  <w:b w:val="false"/>
                  <w:color w:val="0000FF"/>
                  <w:sz w:val="20"/>
                  <w:u w:val="single"/>
                </w:rPr>
                <w:t>PART II – OTHER INFORMATION </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94">
              <w:r>
                <w:rPr>
                  <w:rStyle w:val="InternetLink"/>
                  <w:rFonts w:ascii="Times New Roman;serif" w:hAnsi="Times New Roman;serif"/>
                  <w:b w:val="false"/>
                  <w:color w:val="0000FF"/>
                  <w:sz w:val="20"/>
                  <w:u w:val="single"/>
                </w:rPr>
                <w:t>34</w:t>
              </w:r>
            </w:hyperlink>
          </w:p>
        </w:tc>
      </w:tr>
      <w:tr>
        <w:trPr/>
        <w:tc>
          <w:tcPr>
            <w:tcW w:w="81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97">
              <w:r>
                <w:rPr>
                  <w:rStyle w:val="InternetLink"/>
                  <w:rFonts w:ascii="Times New Roman;serif" w:hAnsi="Times New Roman;serif"/>
                  <w:b w:val="false"/>
                  <w:color w:val="0000FF"/>
                  <w:sz w:val="20"/>
                  <w:u w:val="single"/>
                </w:rPr>
                <w:t>Item 1.     Legal Proceedings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97">
              <w:r>
                <w:rPr>
                  <w:rStyle w:val="InternetLink"/>
                  <w:rFonts w:ascii="Times New Roman;serif" w:hAnsi="Times New Roman;serif"/>
                  <w:b w:val="false"/>
                  <w:color w:val="0000FF"/>
                  <w:sz w:val="20"/>
                  <w:u w:val="single"/>
                </w:rPr>
                <w:t>34</w:t>
              </w:r>
            </w:hyperlink>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100">
              <w:r>
                <w:rPr>
                  <w:rStyle w:val="InternetLink"/>
                  <w:rFonts w:ascii="Times New Roman;serif" w:hAnsi="Times New Roman;serif"/>
                  <w:b w:val="false"/>
                  <w:color w:val="0000FF"/>
                  <w:sz w:val="20"/>
                  <w:u w:val="single"/>
                </w:rPr>
                <w:t>Item 1A.  Risk Factors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100">
              <w:r>
                <w:rPr>
                  <w:rStyle w:val="InternetLink"/>
                  <w:rFonts w:ascii="Times New Roman;serif" w:hAnsi="Times New Roman;serif"/>
                  <w:b w:val="false"/>
                  <w:color w:val="0000FF"/>
                  <w:sz w:val="20"/>
                  <w:u w:val="single"/>
                </w:rPr>
                <w:t>34</w:t>
              </w:r>
            </w:hyperlink>
          </w:p>
        </w:tc>
      </w:tr>
      <w:tr>
        <w:trPr/>
        <w:tc>
          <w:tcPr>
            <w:tcW w:w="81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103">
              <w:r>
                <w:rPr>
                  <w:rStyle w:val="InternetLink"/>
                  <w:rFonts w:ascii="Times New Roman;serif" w:hAnsi="Times New Roman;serif"/>
                  <w:b w:val="false"/>
                  <w:color w:val="0000FF"/>
                  <w:sz w:val="20"/>
                  <w:u w:val="single"/>
                </w:rPr>
                <w:t>Item 2.     Unregistered Sales of Equity Securities and Use of Proceeds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103">
              <w:r>
                <w:rPr>
                  <w:rStyle w:val="InternetLink"/>
                  <w:rFonts w:ascii="Times New Roman;serif" w:hAnsi="Times New Roman;serif"/>
                  <w:b w:val="false"/>
                  <w:color w:val="0000FF"/>
                  <w:sz w:val="20"/>
                  <w:u w:val="single"/>
                </w:rPr>
                <w:t>35</w:t>
              </w:r>
            </w:hyperlink>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106">
              <w:r>
                <w:rPr>
                  <w:rStyle w:val="InternetLink"/>
                  <w:rFonts w:ascii="Times New Roman;serif" w:hAnsi="Times New Roman;serif"/>
                  <w:b w:val="false"/>
                  <w:color w:val="0000FF"/>
                  <w:sz w:val="20"/>
                  <w:u w:val="single"/>
                </w:rPr>
                <w:t>Item 3.     Defaults Upon Senior Securities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106">
              <w:r>
                <w:rPr>
                  <w:rStyle w:val="InternetLink"/>
                  <w:rFonts w:ascii="Times New Roman;serif" w:hAnsi="Times New Roman;serif"/>
                  <w:b w:val="false"/>
                  <w:color w:val="0000FF"/>
                  <w:sz w:val="20"/>
                  <w:u w:val="single"/>
                </w:rPr>
                <w:t>35</w:t>
              </w:r>
            </w:hyperlink>
          </w:p>
        </w:tc>
      </w:tr>
      <w:tr>
        <w:trPr/>
        <w:tc>
          <w:tcPr>
            <w:tcW w:w="81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109">
              <w:r>
                <w:rPr>
                  <w:rStyle w:val="InternetLink"/>
                  <w:rFonts w:ascii="Times New Roman;serif" w:hAnsi="Times New Roman;serif"/>
                  <w:b w:val="false"/>
                  <w:color w:val="0000FF"/>
                  <w:sz w:val="20"/>
                  <w:u w:val="single"/>
                </w:rPr>
                <w:t>Item 4.     Mine Safety Disclosures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109">
              <w:r>
                <w:rPr>
                  <w:rStyle w:val="InternetLink"/>
                  <w:rFonts w:ascii="Times New Roman;serif" w:hAnsi="Times New Roman;serif"/>
                  <w:b w:val="false"/>
                  <w:color w:val="0000FF"/>
                  <w:sz w:val="20"/>
                  <w:u w:val="single"/>
                </w:rPr>
                <w:t>35</w:t>
              </w:r>
            </w:hyperlink>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112">
              <w:r>
                <w:rPr>
                  <w:rStyle w:val="InternetLink"/>
                  <w:rFonts w:ascii="Times New Roman;serif" w:hAnsi="Times New Roman;serif"/>
                  <w:b w:val="false"/>
                  <w:color w:val="0000FF"/>
                  <w:sz w:val="20"/>
                  <w:u w:val="single"/>
                </w:rPr>
                <w:t>Item 5.     Other Information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112">
              <w:r>
                <w:rPr>
                  <w:rStyle w:val="InternetLink"/>
                  <w:rFonts w:ascii="Times New Roman;serif" w:hAnsi="Times New Roman;serif"/>
                  <w:b w:val="false"/>
                  <w:color w:val="0000FF"/>
                  <w:sz w:val="20"/>
                  <w:u w:val="single"/>
                </w:rPr>
                <w:t>35</w:t>
              </w:r>
            </w:hyperlink>
          </w:p>
        </w:tc>
      </w:tr>
      <w:tr>
        <w:trPr/>
        <w:tc>
          <w:tcPr>
            <w:tcW w:w="81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115">
              <w:r>
                <w:rPr>
                  <w:rStyle w:val="InternetLink"/>
                  <w:rFonts w:ascii="Times New Roman;serif" w:hAnsi="Times New Roman;serif"/>
                  <w:b w:val="false"/>
                  <w:color w:val="0000FF"/>
                  <w:sz w:val="20"/>
                  <w:u w:val="single"/>
                </w:rPr>
                <w:t>Item 6.     Exhibits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115">
              <w:r>
                <w:rPr>
                  <w:rStyle w:val="InternetLink"/>
                  <w:rFonts w:ascii="Times New Roman;serif" w:hAnsi="Times New Roman;serif"/>
                  <w:b w:val="false"/>
                  <w:color w:val="0000FF"/>
                  <w:sz w:val="20"/>
                  <w:u w:val="single"/>
                </w:rPr>
                <w:t>37</w:t>
              </w:r>
            </w:hyperlink>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118">
              <w:r>
                <w:rPr>
                  <w:rStyle w:val="InternetLink"/>
                  <w:rFonts w:ascii="Times New Roman;serif" w:hAnsi="Times New Roman;serif"/>
                  <w:b w:val="false"/>
                  <w:color w:val="0000FF"/>
                  <w:sz w:val="20"/>
                  <w:u w:val="single"/>
                </w:rPr>
                <w:t>Signatures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1c19ff4c200048778457d4b9ac6d27e9_118">
              <w:r>
                <w:rPr>
                  <w:rStyle w:val="InternetLink"/>
                  <w:rFonts w:ascii="Times New Roman;serif" w:hAnsi="Times New Roman;serif"/>
                  <w:b w:val="false"/>
                  <w:color w:val="0000FF"/>
                  <w:sz w:val="20"/>
                  <w:u w:val="single"/>
                </w:rPr>
                <w:t>38</w:t>
              </w:r>
            </w:hyperlink>
          </w:p>
        </w:tc>
      </w:tr>
    </w:tbl>
    <w:p>
      <w:pPr>
        <w:pStyle w:val="TextBody"/>
        <w:bidi w:val="0"/>
        <w:spacing w:lineRule="auto" w:line="333" w:before="0" w:after="0"/>
        <w:ind w:left="0" w:right="0" w:firstLine="180"/>
        <w:jc w:val="left"/>
        <w:rPr>
          <w:color w:val="000000"/>
        </w:rPr>
      </w:pPr>
      <w:r>
        <w:rPr>
          <w:color w:val="000000"/>
        </w:rPr>
        <w:t>   </w:t>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w:t>
      </w:r>
    </w:p>
    <w:p>
      <w:pPr>
        <w:pStyle w:val="TextBody"/>
        <w:bidi w:val="0"/>
        <w:spacing w:before="0" w:after="0"/>
        <w:jc w:val="left"/>
        <w:rPr/>
      </w:pPr>
      <w:r>
        <w:rPr/>
      </w:r>
    </w:p>
    <w:p>
      <w:pPr>
        <w:pStyle w:val="TextBody"/>
        <w:bidi w:val="0"/>
        <w:spacing w:lineRule="auto" w:line="276" w:before="1" w:after="1"/>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requires, all references in this Form 10-Q to "Context," "Company," "we," "us," and "our" refer to Context Therapeutics Inc. and its subsidiaries.</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w:t>
      </w:r>
    </w:p>
    <w:p>
      <w:pPr>
        <w:pStyle w:val="TextBody"/>
        <w:bidi w:val="0"/>
        <w:spacing w:before="0" w:after="0"/>
        <w:jc w:val="both"/>
        <w:rPr/>
      </w:pPr>
      <w:r>
        <w:rPr/>
      </w:r>
    </w:p>
    <w:p>
      <w:pPr>
        <w:pStyle w:val="TextBody"/>
        <w:bidi w:val="0"/>
        <w:spacing w:lineRule="auto" w:line="484" w:before="1" w:after="1"/>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Trademark Notice</w:t>
      </w:r>
    </w:p>
    <w:p>
      <w:pPr>
        <w:pStyle w:val="TextBody"/>
        <w:bidi w:val="0"/>
        <w:spacing w:lineRule="auto" w:line="276" w:before="1" w:after="1"/>
        <w:jc w:val="left"/>
        <w:rPr>
          <w:rFonts w:ascii="Times New Roman;serif" w:hAnsi="Times New Roman;serif"/>
          <w:b w:val="false"/>
          <w:color w:val="000000"/>
          <w:sz w:val="20"/>
        </w:rPr>
      </w:pPr>
      <w:r>
        <w:rPr>
          <w:rFonts w:ascii="Times New Roman;serif" w:hAnsi="Times New Roman;serif"/>
          <w:b w:val="false"/>
          <w:color w:val="000000"/>
          <w:sz w:val="20"/>
        </w:rPr>
        <w:t>Context Therapeutics® is a trademark of ours in the United States. All other trademarks, trade names and service marks appearing in this Form 10-Q are the property of their respective owners. We do not intend our use or display of other companies’ trademarks, trade names or service marks to imply a relationship with, or endorsement or sponsorship of us by, any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 REGARDING FORWARD-LOOKING STATEMENTS</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includes "forward-looking statements" within the meaning of the Private Securities Litigation Reform Act of 1995. These statements are based on our management's beliefs and assumptions and on information currently available to us. All statements other than statements of historical facts are forward-looking statements. These statements relate to future events or to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 </w:t>
      </w:r>
    </w:p>
    <w:p>
      <w:pPr>
        <w:pStyle w:val="TextBody"/>
        <w:bidi w:val="0"/>
        <w:spacing w:before="1" w:after="1"/>
        <w:jc w:val="left"/>
        <w:rPr/>
      </w:pPr>
      <w:r>
        <w:rPr/>
      </w:r>
    </w:p>
    <w:p>
      <w:pPr>
        <w:pStyle w:val="TextBody"/>
        <w:bidi w:val="0"/>
        <w:spacing w:lineRule="auto" w:line="276" w:before="120" w:after="283"/>
        <w:ind w:left="0" w:right="0" w:hanging="367"/>
        <w:jc w:val="left"/>
        <w:rPr>
          <w:color w:val="000000"/>
        </w:rPr>
      </w:pPr>
      <w:r>
        <w:rPr>
          <w:color w:val="000000"/>
        </w:rPr>
        <w:t>•    </w:t>
      </w:r>
      <w:r>
        <w:rPr>
          <w:rFonts w:ascii="Times New Roman;serif" w:hAnsi="Times New Roman;serif"/>
          <w:b w:val="false"/>
          <w:color w:val="000000"/>
          <w:sz w:val="20"/>
        </w:rPr>
        <w:t>the ability of our preclinical studies and clinical trials to demonstrate safety and efficacy of our product candidates, and other positive results;</w:t>
      </w:r>
    </w:p>
    <w:p>
      <w:pPr>
        <w:pStyle w:val="TextBody"/>
        <w:bidi w:val="0"/>
        <w:spacing w:lineRule="auto" w:line="276" w:before="120" w:after="283"/>
        <w:ind w:left="0" w:right="0" w:hanging="367"/>
        <w:jc w:val="left"/>
        <w:rPr>
          <w:color w:val="000000"/>
        </w:rPr>
      </w:pPr>
      <w:r>
        <w:rPr>
          <w:color w:val="000000"/>
        </w:rPr>
        <w:t>•    </w:t>
      </w:r>
      <w:r>
        <w:rPr>
          <w:rFonts w:ascii="Times New Roman;serif" w:hAnsi="Times New Roman;serif"/>
          <w:b w:val="false"/>
          <w:color w:val="000000"/>
          <w:sz w:val="20"/>
        </w:rPr>
        <w:t>the timing, progress and results of preclinical studies and clinical trials for CTIM-76, CT-202 and other product candidates we may develop, including statements regarding the timing of initiation and completion of studies or trials and related preparatory work, the period during which the results of the trials will become available, and our research and development programs;</w:t>
      </w:r>
    </w:p>
    <w:p>
      <w:pPr>
        <w:pStyle w:val="TextBody"/>
        <w:bidi w:val="0"/>
        <w:spacing w:lineRule="auto" w:line="276" w:before="120" w:after="283"/>
        <w:ind w:left="0" w:right="0" w:hanging="367"/>
        <w:jc w:val="left"/>
        <w:rPr>
          <w:color w:val="000000"/>
        </w:rPr>
      </w:pPr>
      <w:r>
        <w:rPr>
          <w:color w:val="000000"/>
        </w:rPr>
        <w:t>•    </w:t>
      </w:r>
      <w:r>
        <w:rPr>
          <w:rFonts w:ascii="Times New Roman;serif" w:hAnsi="Times New Roman;serif"/>
          <w:b w:val="false"/>
          <w:color w:val="000000"/>
          <w:sz w:val="20"/>
        </w:rPr>
        <w:t>the timing, scope and likelihood of U.S. and foreign regulatory filings and approvals, including timing of Investigational New Drug ("IND") applications and final U.S. Food and Drug Administration (“FDA”) approval, as well as similar applications and approvals in foreign jurisdictions, of CTIM-76, CT-202 and any other future product candidates;</w:t>
      </w:r>
    </w:p>
    <w:p>
      <w:pPr>
        <w:pStyle w:val="TextBody"/>
        <w:bidi w:val="0"/>
        <w:spacing w:lineRule="auto" w:line="276" w:before="120" w:after="283"/>
        <w:ind w:left="0" w:right="0" w:hanging="367"/>
        <w:jc w:val="left"/>
        <w:rPr>
          <w:color w:val="000000"/>
        </w:rPr>
      </w:pPr>
      <w:r>
        <w:rPr>
          <w:color w:val="000000"/>
        </w:rPr>
        <w:t>•    </w:t>
      </w:r>
      <w:r>
        <w:rPr>
          <w:rFonts w:ascii="Times New Roman;serif" w:hAnsi="Times New Roman;serif"/>
          <w:b w:val="false"/>
          <w:color w:val="000000"/>
          <w:sz w:val="20"/>
        </w:rPr>
        <w:t>our ability to develop and advance CTIM-76, CT-202 and any other future product candidates, and successfully complete clinical studies;</w:t>
      </w:r>
    </w:p>
    <w:p>
      <w:pPr>
        <w:pStyle w:val="TextBody"/>
        <w:bidi w:val="0"/>
        <w:spacing w:lineRule="auto" w:line="276" w:before="120" w:after="283"/>
        <w:ind w:left="0" w:right="0" w:hanging="367"/>
        <w:jc w:val="left"/>
        <w:rPr>
          <w:color w:val="000000"/>
        </w:rPr>
      </w:pPr>
      <w:r>
        <w:rPr>
          <w:color w:val="000000"/>
        </w:rPr>
        <w:t>•    </w:t>
      </w:r>
      <w:r>
        <w:rPr>
          <w:rFonts w:ascii="Times New Roman;serif" w:hAnsi="Times New Roman;serif"/>
          <w:b w:val="false"/>
          <w:color w:val="000000"/>
          <w:sz w:val="20"/>
        </w:rPr>
        <w:t>our expectations regarding the wind down of the CT-95 Phase 1 clinical trial, including the timing, costs and operational, clinical, regulatory and other considerations associated with discontinuing internal development of CT-95 and winding down the trial;</w:t>
      </w:r>
    </w:p>
    <w:p>
      <w:pPr>
        <w:pStyle w:val="TextBody"/>
        <w:bidi w:val="0"/>
        <w:spacing w:lineRule="auto" w:line="276" w:before="120" w:after="283"/>
        <w:ind w:left="0" w:right="0" w:hanging="367"/>
        <w:jc w:val="left"/>
        <w:rPr>
          <w:color w:val="000000"/>
        </w:rPr>
      </w:pPr>
      <w:r>
        <w:rPr>
          <w:color w:val="000000"/>
        </w:rPr>
        <w:t>•    </w:t>
      </w:r>
      <w:r>
        <w:rPr>
          <w:rFonts w:ascii="Times New Roman;serif" w:hAnsi="Times New Roman;serif"/>
          <w:b w:val="false"/>
          <w:color w:val="000000"/>
          <w:sz w:val="20"/>
        </w:rPr>
        <w:t>our ability to prioritize and focus our development efforts on CTIM-76 and CT-202, and implement a capital allocation strategy;</w:t>
      </w:r>
    </w:p>
    <w:p>
      <w:pPr>
        <w:pStyle w:val="TextBody"/>
        <w:bidi w:val="0"/>
        <w:spacing w:lineRule="auto" w:line="276" w:before="120" w:after="283"/>
        <w:ind w:left="0" w:right="0" w:hanging="367"/>
        <w:jc w:val="left"/>
        <w:rPr/>
      </w:pPr>
      <w:r>
        <w:rPr>
          <w:color w:val="000000"/>
        </w:rPr>
        <w:t>•</w:t>
      </w:r>
      <w:r>
        <w:rPr>
          <w:rFonts w:ascii="Times New Roman;serif" w:hAnsi="Times New Roman;serif"/>
          <w:b w:val="false"/>
          <w:color w:val="000000"/>
          <w:sz w:val="20"/>
        </w:rPr>
        <w:t>our manufacturing, commercialization, and marketing capabilities, implementations thereof, and strategy;</w:t>
      </w:r>
    </w:p>
    <w:p>
      <w:pPr>
        <w:pStyle w:val="TextBody"/>
        <w:bidi w:val="0"/>
        <w:spacing w:lineRule="auto" w:line="276" w:before="120" w:after="283"/>
        <w:ind w:left="0" w:right="0" w:hanging="367"/>
        <w:jc w:val="left"/>
        <w:rPr>
          <w:color w:val="000000"/>
        </w:rPr>
      </w:pPr>
      <w:r>
        <w:rPr>
          <w:color w:val="000000"/>
        </w:rPr>
        <w:t>•    </w:t>
      </w:r>
      <w:r>
        <w:rPr>
          <w:rFonts w:ascii="Times New Roman;serif" w:hAnsi="Times New Roman;serif"/>
          <w:b w:val="false"/>
          <w:color w:val="000000"/>
          <w:sz w:val="20"/>
        </w:rPr>
        <w:t>our plans relating to commercializing our product candidates, if approved, including the geographic areas of focus, sales strategy, and our ability to grow a sales team;</w:t>
      </w:r>
    </w:p>
    <w:p>
      <w:pPr>
        <w:pStyle w:val="TextBody"/>
        <w:bidi w:val="0"/>
        <w:spacing w:lineRule="auto" w:line="276" w:before="120" w:after="283"/>
        <w:ind w:left="0" w:right="0" w:hanging="367"/>
        <w:jc w:val="left"/>
        <w:rPr>
          <w:color w:val="000000"/>
        </w:rPr>
      </w:pPr>
      <w:r>
        <w:rPr>
          <w:color w:val="000000"/>
        </w:rPr>
        <w:t>•    </w:t>
      </w:r>
      <w:r>
        <w:rPr>
          <w:rFonts w:ascii="Times New Roman;serif" w:hAnsi="Times New Roman;serif"/>
          <w:b w:val="false"/>
          <w:color w:val="000000"/>
          <w:sz w:val="20"/>
        </w:rPr>
        <w:t>our intellectual property position, including the scope of protection we are able to establish and maintain for intellectual property rights covering CTIM-76, CT-202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pStyle w:val="TextBody"/>
        <w:bidi w:val="0"/>
        <w:spacing w:lineRule="auto" w:line="276" w:before="120" w:after="283"/>
        <w:ind w:left="0" w:right="0" w:hanging="367"/>
        <w:jc w:val="left"/>
        <w:rPr>
          <w:color w:val="000000"/>
        </w:rPr>
      </w:pPr>
      <w:r>
        <w:rPr>
          <w:color w:val="000000"/>
        </w:rPr>
        <w:t>•    </w:t>
      </w:r>
      <w:r>
        <w:rPr>
          <w:rFonts w:ascii="Times New Roman;serif" w:hAnsi="Times New Roman;serif"/>
          <w:b w:val="false"/>
          <w:color w:val="000000"/>
          <w:sz w:val="20"/>
        </w:rPr>
        <w:t>any disagreements or disputes with our licensees, licensors and other counterparties relating to the development and/or commercialization of our current or past product candidates, which may be time consuming, costly and could harm our efforts to develop our current or future product candidates;</w:t>
      </w:r>
    </w:p>
    <w:p>
      <w:pPr>
        <w:pStyle w:val="TextBody"/>
        <w:bidi w:val="0"/>
        <w:spacing w:lineRule="auto" w:line="276" w:before="120" w:after="283"/>
        <w:ind w:left="0" w:right="0" w:hanging="367"/>
        <w:jc w:val="left"/>
        <w:rPr>
          <w:color w:val="000000"/>
        </w:rPr>
      </w:pPr>
      <w:r>
        <w:rPr>
          <w:color w:val="000000"/>
        </w:rPr>
        <w:t>•    </w:t>
      </w:r>
      <w:r>
        <w:rPr>
          <w:rFonts w:ascii="Times New Roman;serif" w:hAnsi="Times New Roman;serif"/>
          <w:b w:val="false"/>
          <w:color w:val="000000"/>
          <w:sz w:val="20"/>
        </w:rPr>
        <w:t>the expected impact of economic uncertainties on our business and operations, including clinical trials, manufacturing suppliers, collaborators, use of contract research organizations and employees;</w:t>
      </w:r>
    </w:p>
    <w:p>
      <w:pPr>
        <w:pStyle w:val="TextBody"/>
        <w:bidi w:val="0"/>
        <w:spacing w:lineRule="auto" w:line="276" w:before="120" w:after="283"/>
        <w:ind w:left="0" w:right="0" w:hanging="367"/>
        <w:jc w:val="left"/>
        <w:rPr>
          <w:color w:val="000000"/>
        </w:rPr>
      </w:pPr>
      <w:r>
        <w:rPr>
          <w:color w:val="000000"/>
        </w:rPr>
        <w:t>•    </w:t>
      </w:r>
      <w:r>
        <w:rPr>
          <w:rFonts w:ascii="Times New Roman;serif" w:hAnsi="Times New Roman;serif"/>
          <w:b w:val="false"/>
          <w:color w:val="000000"/>
          <w:sz w:val="20"/>
        </w:rPr>
        <w:t>the size of the market opportunity for our product candidates, including our estimates of the number of patients who suffer from the diseases we are targeting;</w:t>
      </w:r>
    </w:p>
    <w:p>
      <w:pPr>
        <w:pStyle w:val="TextBody"/>
        <w:bidi w:val="0"/>
        <w:spacing w:lineRule="auto" w:line="276" w:before="120" w:after="283"/>
        <w:ind w:left="0" w:right="0" w:hanging="367"/>
        <w:jc w:val="left"/>
        <w:rPr>
          <w:color w:val="000000"/>
        </w:rPr>
      </w:pPr>
      <w:r>
        <w:rPr>
          <w:color w:val="000000"/>
        </w:rPr>
        <w:t>•    </w:t>
      </w:r>
      <w:r>
        <w:rPr>
          <w:rFonts w:ascii="Times New Roman;serif" w:hAnsi="Times New Roman;serif"/>
          <w:b w:val="false"/>
          <w:color w:val="000000"/>
          <w:sz w:val="20"/>
        </w:rPr>
        <w:t>our competitive position and the success of competing therapies that are or may become available;</w:t>
      </w:r>
    </w:p>
    <w:p>
      <w:pPr>
        <w:pStyle w:val="TextBody"/>
        <w:bidi w:val="0"/>
        <w:spacing w:lineRule="auto" w:line="276" w:before="120" w:after="283"/>
        <w:ind w:left="0" w:right="0" w:hanging="367"/>
        <w:jc w:val="left"/>
        <w:rPr>
          <w:color w:val="000000"/>
        </w:rPr>
      </w:pPr>
      <w:r>
        <w:rPr>
          <w:color w:val="000000"/>
        </w:rPr>
        <w:t>•    </w:t>
      </w:r>
      <w:r>
        <w:rPr>
          <w:rFonts w:ascii="Times New Roman;serif" w:hAnsi="Times New Roman;serif"/>
          <w:b w:val="false"/>
          <w:color w:val="000000"/>
          <w:sz w:val="20"/>
        </w:rPr>
        <w:t>the expected beneficial characteristics, safety, efficacy and therapeutic effects of our product candidates;</w:t>
      </w:r>
    </w:p>
    <w:p>
      <w:pPr>
        <w:pStyle w:val="TextBody"/>
        <w:bidi w:val="0"/>
        <w:spacing w:lineRule="auto" w:line="276" w:before="120" w:after="283"/>
        <w:ind w:left="0" w:right="0" w:hanging="367"/>
        <w:jc w:val="left"/>
        <w:rPr>
          <w:color w:val="000000"/>
        </w:rPr>
      </w:pPr>
      <w:r>
        <w:rPr>
          <w:color w:val="000000"/>
        </w:rPr>
        <w:t>•    </w:t>
      </w:r>
      <w:r>
        <w:rPr>
          <w:rFonts w:ascii="Times New Roman;serif" w:hAnsi="Times New Roman;serif"/>
          <w:b w:val="false"/>
          <w:color w:val="000000"/>
          <w:sz w:val="20"/>
        </w:rPr>
        <w:t>our ability to obtain and maintain regulatory approval of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367"/>
        <w:jc w:val="left"/>
        <w:rPr>
          <w:color w:val="000000"/>
        </w:rPr>
      </w:pPr>
      <w:r>
        <w:rPr>
          <w:color w:val="000000"/>
        </w:rPr>
        <w:t>•    </w:t>
      </w:r>
      <w:r>
        <w:rPr>
          <w:rFonts w:ascii="Times New Roman;serif" w:hAnsi="Times New Roman;serif"/>
          <w:b w:val="false"/>
          <w:color w:val="000000"/>
          <w:sz w:val="20"/>
        </w:rPr>
        <w:t>our plans relating to the further development of our product candidates, including additional indications we may pursue;</w:t>
      </w:r>
    </w:p>
    <w:p>
      <w:pPr>
        <w:pStyle w:val="TextBody"/>
        <w:bidi w:val="0"/>
        <w:spacing w:lineRule="auto" w:line="276" w:before="120" w:after="283"/>
        <w:ind w:left="0" w:right="0" w:hanging="367"/>
        <w:jc w:val="left"/>
        <w:rPr>
          <w:color w:val="000000"/>
        </w:rPr>
      </w:pPr>
      <w:r>
        <w:rPr>
          <w:color w:val="000000"/>
        </w:rPr>
        <w:t>•    </w:t>
      </w:r>
      <w:r>
        <w:rPr>
          <w:rFonts w:ascii="Times New Roman;serif" w:hAnsi="Times New Roman;serif"/>
          <w:b w:val="false"/>
          <w:color w:val="000000"/>
          <w:sz w:val="20"/>
        </w:rPr>
        <w:t>existing regulations and regulatory developments in the United States, Europe, Australia, and other jurisdictions;</w:t>
      </w:r>
    </w:p>
    <w:p>
      <w:pPr>
        <w:pStyle w:val="TextBody"/>
        <w:bidi w:val="0"/>
        <w:spacing w:lineRule="auto" w:line="276" w:before="120" w:after="283"/>
        <w:ind w:left="0" w:right="0" w:hanging="367"/>
        <w:jc w:val="left"/>
        <w:rPr>
          <w:color w:val="000000"/>
        </w:rPr>
      </w:pPr>
      <w:r>
        <w:rPr>
          <w:color w:val="000000"/>
        </w:rPr>
        <w:t>•    </w:t>
      </w:r>
      <w:r>
        <w:rPr>
          <w:rFonts w:ascii="Times New Roman;serif" w:hAnsi="Times New Roman;serif"/>
          <w:b w:val="false"/>
          <w:color w:val="000000"/>
          <w:sz w:val="20"/>
        </w:rPr>
        <w:t>our ability to obtain, and negotiate favorable terms of, collaboration, licensing or other arrangements that may be necessary or desirable to develop, manufacture or commercialize our product candidates;</w:t>
      </w:r>
    </w:p>
    <w:p>
      <w:pPr>
        <w:pStyle w:val="TextBody"/>
        <w:bidi w:val="0"/>
        <w:spacing w:lineRule="auto" w:line="276" w:before="120" w:after="283"/>
        <w:ind w:left="0" w:right="0" w:hanging="367"/>
        <w:jc w:val="left"/>
        <w:rPr>
          <w:color w:val="000000"/>
        </w:rPr>
      </w:pPr>
      <w:r>
        <w:rPr>
          <w:color w:val="000000"/>
        </w:rPr>
        <w:t>•    </w:t>
      </w:r>
      <w:r>
        <w:rPr>
          <w:rFonts w:ascii="Times New Roman;serif" w:hAnsi="Times New Roman;serif"/>
          <w:b w:val="false"/>
          <w:color w:val="000000"/>
          <w:sz w:val="20"/>
        </w:rPr>
        <w:t>the rate and degree of market acceptance and clinical utility of CTIM-76, CT-202 and other product candidates we may develop;</w:t>
      </w:r>
    </w:p>
    <w:p>
      <w:pPr>
        <w:pStyle w:val="TextBody"/>
        <w:bidi w:val="0"/>
        <w:spacing w:lineRule="auto" w:line="276" w:before="120" w:after="283"/>
        <w:ind w:left="0" w:right="0" w:hanging="367"/>
        <w:jc w:val="left"/>
        <w:rPr>
          <w:color w:val="000000"/>
        </w:rPr>
      </w:pPr>
      <w:r>
        <w:rPr>
          <w:color w:val="000000"/>
        </w:rPr>
        <w:t>•    </w:t>
      </w:r>
      <w:r>
        <w:rPr>
          <w:rFonts w:ascii="Times New Roman;serif" w:hAnsi="Times New Roman;serif"/>
          <w:b w:val="false"/>
          <w:color w:val="000000"/>
          <w:sz w:val="20"/>
        </w:rPr>
        <w:t>our estimates regarding expenses, future revenue, capital requirements and needs for additional financing;</w:t>
      </w:r>
    </w:p>
    <w:p>
      <w:pPr>
        <w:pStyle w:val="TextBody"/>
        <w:bidi w:val="0"/>
        <w:spacing w:lineRule="auto" w:line="276" w:before="120" w:after="283"/>
        <w:ind w:left="0" w:right="0" w:hanging="367"/>
        <w:jc w:val="left"/>
        <w:rPr>
          <w:color w:val="000000"/>
        </w:rPr>
      </w:pPr>
      <w:r>
        <w:rPr>
          <w:color w:val="000000"/>
        </w:rPr>
        <w:t>•    </w:t>
      </w:r>
      <w:r>
        <w:rPr>
          <w:rFonts w:ascii="Times New Roman;serif" w:hAnsi="Times New Roman;serif"/>
          <w:b w:val="false"/>
          <w:color w:val="000000"/>
          <w:sz w:val="20"/>
        </w:rPr>
        <w:t>our current plans to seek additional capital in the future through equity and/or debt financings, partnerships, collaborations, licensing agreements or other strategic arrangements, or other sources and the availability of such future sources of capital;</w:t>
      </w:r>
    </w:p>
    <w:p>
      <w:pPr>
        <w:pStyle w:val="TextBody"/>
        <w:bidi w:val="0"/>
        <w:spacing w:lineRule="auto" w:line="276" w:before="120" w:after="283"/>
        <w:ind w:left="0" w:right="0" w:hanging="367"/>
        <w:jc w:val="left"/>
        <w:rPr>
          <w:color w:val="000000"/>
        </w:rPr>
      </w:pPr>
      <w:r>
        <w:rPr>
          <w:color w:val="000000"/>
        </w:rPr>
        <w:t>•    </w:t>
      </w:r>
      <w:r>
        <w:rPr>
          <w:rFonts w:ascii="Times New Roman;serif" w:hAnsi="Times New Roman;serif"/>
          <w:b w:val="false"/>
          <w:color w:val="000000"/>
          <w:sz w:val="20"/>
        </w:rPr>
        <w:t>our financial performance;</w:t>
      </w:r>
    </w:p>
    <w:p>
      <w:pPr>
        <w:pStyle w:val="TextBody"/>
        <w:bidi w:val="0"/>
        <w:spacing w:lineRule="auto" w:line="276" w:before="120" w:after="283"/>
        <w:ind w:left="0" w:right="0" w:hanging="367"/>
        <w:jc w:val="left"/>
        <w:rPr>
          <w:color w:val="000000"/>
        </w:rPr>
      </w:pPr>
      <w:r>
        <w:rPr>
          <w:color w:val="000000"/>
        </w:rPr>
        <w:t>•    </w:t>
      </w:r>
      <w:r>
        <w:rPr>
          <w:rFonts w:ascii="Times New Roman;serif" w:hAnsi="Times New Roman;serif"/>
          <w:b w:val="false"/>
          <w:color w:val="000000"/>
          <w:sz w:val="20"/>
        </w:rPr>
        <w:t>our plans to regain and maintain compliance with the continued listing requirements of The Nasdaq Stock Market;</w:t>
      </w:r>
    </w:p>
    <w:p>
      <w:pPr>
        <w:pStyle w:val="TextBody"/>
        <w:bidi w:val="0"/>
        <w:spacing w:lineRule="auto" w:line="276" w:before="120" w:after="283"/>
        <w:ind w:left="0" w:right="0" w:hanging="367"/>
        <w:jc w:val="left"/>
        <w:rPr>
          <w:color w:val="000000"/>
        </w:rPr>
      </w:pPr>
      <w:r>
        <w:rPr>
          <w:color w:val="000000"/>
        </w:rPr>
        <w:t>•    </w:t>
      </w:r>
      <w:r>
        <w:rPr>
          <w:rFonts w:ascii="Times New Roman;serif" w:hAnsi="Times New Roman;serif"/>
          <w:b w:val="false"/>
          <w:color w:val="000000"/>
          <w:sz w:val="20"/>
        </w:rPr>
        <w:t>the period over which we estimate our existing cash and cash equivalents will be sufficient to fund our future operating expenses and capital expenditure requirements;</w:t>
      </w:r>
    </w:p>
    <w:p>
      <w:pPr>
        <w:pStyle w:val="TextBody"/>
        <w:bidi w:val="0"/>
        <w:spacing w:lineRule="auto" w:line="276" w:before="120" w:after="283"/>
        <w:ind w:left="0" w:right="0" w:hanging="367"/>
        <w:jc w:val="left"/>
        <w:rPr>
          <w:color w:val="000000"/>
        </w:rPr>
      </w:pPr>
      <w:r>
        <w:rPr>
          <w:color w:val="000000"/>
        </w:rPr>
        <w:t>•    </w:t>
      </w:r>
      <w:r>
        <w:rPr>
          <w:rFonts w:ascii="Times New Roman;serif" w:hAnsi="Times New Roman;serif"/>
          <w:b w:val="false"/>
          <w:color w:val="000000"/>
          <w:sz w:val="20"/>
        </w:rPr>
        <w:t>the impact of laws and regulations;</w:t>
      </w:r>
    </w:p>
    <w:p>
      <w:pPr>
        <w:pStyle w:val="TextBody"/>
        <w:bidi w:val="0"/>
        <w:spacing w:lineRule="auto" w:line="276" w:before="120" w:after="283"/>
        <w:ind w:left="0" w:right="0" w:hanging="367"/>
        <w:jc w:val="left"/>
        <w:rPr>
          <w:color w:val="000000"/>
        </w:rPr>
      </w:pPr>
      <w:r>
        <w:rPr>
          <w:color w:val="000000"/>
        </w:rPr>
        <w:t>•    </w:t>
      </w:r>
      <w:r>
        <w:rPr>
          <w:rFonts w:ascii="Times New Roman;serif" w:hAnsi="Times New Roman;serif"/>
          <w:b w:val="false"/>
          <w:color w:val="000000"/>
          <w:sz w:val="20"/>
        </w:rPr>
        <w:t>our expectations regarding the period during which we will qualify as an emerging growth company under the JOBS Act; and</w:t>
      </w:r>
    </w:p>
    <w:p>
      <w:pPr>
        <w:pStyle w:val="TextBody"/>
        <w:bidi w:val="0"/>
        <w:spacing w:lineRule="auto" w:line="276" w:before="120" w:after="283"/>
        <w:ind w:left="0" w:right="0" w:hanging="367"/>
        <w:jc w:val="left"/>
        <w:rPr>
          <w:color w:val="000000"/>
        </w:rPr>
      </w:pPr>
      <w:r>
        <w:rPr>
          <w:color w:val="000000"/>
        </w:rPr>
        <w:t>•    </w:t>
      </w:r>
      <w:r>
        <w:rPr>
          <w:rFonts w:ascii="Times New Roman;serif" w:hAnsi="Times New Roman;serif"/>
          <w:b w:val="false"/>
          <w:color w:val="000000"/>
          <w:sz w:val="20"/>
        </w:rPr>
        <w:t>our anticipated use of our existing cash and cash equivalents;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well as other statements relating to our future operations, financial performance and financial condition, prospects, strategies, objectives or other future events. In some cases, you can identify forward-looking statements by terms such as “may,” “could,” “will,” “should,” “would,” “expect,” “plan,” “intend,” “anticipate,” “believe,” “estimate,” “predict,” “potential,” “project” or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heading “Risk Factors” and elsewhere in this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As a result, you should not place undue reliance on forward-looking statements. </w:t>
      </w:r>
    </w:p>
    <w:p>
      <w:pPr>
        <w:pStyle w:val="TextBody"/>
        <w:bidi w:val="0"/>
        <w:spacing w:before="1" w:after="1"/>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Additionally, the forward-looking statements contained in this Form 10-Q represent our views only as of the date of this Form 10-Q (or any earlier date indicated in such statement). While we may update certain forward-looking statements from time to time, we specifically disclaim any obligation to do so, except as required by law, even if new information becomes available in the future. However, you are advised to consult any further disclosures we make on related subjects in the reports that we file with the U.S. Securities and Exchange Commission (“SEC”).</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foregoing cautionary statements are intended to qualify all forward-looking statements wherever they may appear in this Form 10-Q. For all forward-looking statements, we claim the protection of the safe harbor for forward-looking statements contained in the Private Securities Litigation Reform Act of 1995.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 w:after="1"/>
        <w:jc w:val="left"/>
        <w:rPr>
          <w:rFonts w:ascii="Times New Roman;serif" w:hAnsi="Times New Roman;serif"/>
          <w:b/>
          <w:color w:val="000000"/>
          <w:sz w:val="20"/>
        </w:rPr>
      </w:pPr>
      <w:r>
        <w:rPr>
          <w:rFonts w:ascii="Times New Roman;serif" w:hAnsi="Times New Roman;serif"/>
          <w:b/>
          <w:color w:val="000000"/>
          <w:sz w:val="20"/>
        </w:rPr>
        <w:t>Market, Industry and Other Data</w:t>
      </w:r>
    </w:p>
    <w:p>
      <w:pPr>
        <w:pStyle w:val="TextBody"/>
        <w:bidi w:val="0"/>
        <w:spacing w:before="0" w:after="0"/>
        <w:jc w:val="left"/>
        <w:rPr/>
      </w:pPr>
      <w:r>
        <w:rPr/>
      </w:r>
    </w:p>
    <w:p>
      <w:pPr>
        <w:pStyle w:val="TextBody"/>
        <w:bidi w:val="0"/>
        <w:spacing w:lineRule="auto" w:line="276" w:before="1" w:after="1"/>
        <w:jc w:val="left"/>
        <w:rPr>
          <w:rFonts w:ascii="Times New Roman;serif" w:hAnsi="Times New Roman;serif"/>
          <w:b w:val="false"/>
          <w:color w:val="000000"/>
          <w:sz w:val="20"/>
        </w:rPr>
      </w:pPr>
      <w:r>
        <w:rPr>
          <w:rFonts w:ascii="Times New Roman;serif" w:hAnsi="Times New Roman;serif"/>
          <w:b w:val="false"/>
          <w:color w:val="000000"/>
          <w:sz w:val="20"/>
        </w:rPr>
        <w:t>This Form 10-Q may contain estimates, projections, market research and other data generated by independent third parties, by third parties on our behalf and by us concerning markets for CTIM-76, our Claudin 6 (“CLDN6”) x CD3 T cell engaging (“TCE”) bispecific antibody and CT-202, our Nectin cell adhesion protein 4 (“Nectin-4”) x CD3 TCE. Information that is based on estimates, projections, market research or similar methodologies is inherently subject to uncertainties and actual results, events or circumstances may differ materially from results, events and circumstances reflected in this information. As a result, you are cautioned not to give undue weight to such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1"/>
        <w:jc w:val="left"/>
        <w:rPr>
          <w:rFonts w:ascii="Times New Roman;serif" w:hAnsi="Times New Roman;serif"/>
          <w:b w:val="false"/>
          <w:color w:val="000000"/>
          <w:sz w:val="20"/>
        </w:rPr>
      </w:pPr>
      <w:r>
        <w:rPr>
          <w:rFonts w:ascii="Times New Roman;serif" w:hAnsi="Times New Roman;serif"/>
          <w:b w:val="false"/>
          <w:color w:val="000000"/>
          <w:sz w:val="20"/>
        </w:rPr>
        <w:t xml:space="preserve">This Form 10-Q also may contain certain data and information, which we obtained from various government and private publications. Although we believe that the publications and reports are reliable, we have not independently verified the data. Statistical data in these publications include projections that are based on a number of assumptions. If any one or more of the assumptions underlying the market data is later found to be incorrect, actual results may differ from the projections based on these assumptions.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Context Therapeutics Inc.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tbl>
      <w:tblPr>
        <w:tblW w:w="10205" w:type="dxa"/>
        <w:jc w:val="center"/>
        <w:tblInd w:w="0" w:type="dxa"/>
        <w:tblLayout w:type="fixed"/>
        <w:tblCellMar>
          <w:top w:w="28" w:type="dxa"/>
          <w:left w:w="28" w:type="dxa"/>
          <w:bottom w:w="28" w:type="dxa"/>
          <w:right w:w="28" w:type="dxa"/>
        </w:tblCellMar>
      </w:tblPr>
      <w:tblGrid>
        <w:gridCol w:w="2640"/>
        <w:gridCol w:w="2170"/>
        <w:gridCol w:w="2111"/>
        <w:gridCol w:w="211"/>
        <w:gridCol w:w="1081"/>
        <w:gridCol w:w="109"/>
        <w:gridCol w:w="109"/>
        <w:gridCol w:w="109"/>
        <w:gridCol w:w="109"/>
        <w:gridCol w:w="226"/>
        <w:gridCol w:w="1162"/>
        <w:gridCol w:w="168"/>
      </w:tblGrid>
      <w:tr>
        <w:trPr/>
        <w:tc>
          <w:tcPr>
            <w:tcW w:w="2640"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 3)</w:t>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Assets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42,990,371 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65,995,228 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2,828,491 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2,358,474</w:t>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45,818,862 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68,353,702</w:t>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74,068 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29,656 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Operating lease right-of-use lease asset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241,224 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110,410 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46,134,154 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68,493,768 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Current liabilities: </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3,288,209 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2,532,887 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4,428,902 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5,375,090 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lease liability - current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167,468 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112,064 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7,884,579 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8,020,041 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Operating lease liability - non-current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77,524 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7,962,103 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8,020,041 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8)</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10,000,000 shares authorized; no shares issued or outstanding</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300,000,000 and 200,000,000 shares authorized at June 30, 2026 and December 31, 2025, respectively; 91,879,177 shares issued and outstanding at June 30, 2026 and December 31, 2025</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91,879 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91,879 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192,222,479 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191,285,157 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(154,142,307)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(130,903,309)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38,172,051 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60,473,727 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46,134,154 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68,493,768 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Context Therapeutics Inc.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76"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976"/>
        <w:gridCol w:w="631"/>
        <w:gridCol w:w="635"/>
        <w:gridCol w:w="211"/>
        <w:gridCol w:w="1113"/>
        <w:gridCol w:w="109"/>
        <w:gridCol w:w="109"/>
        <w:gridCol w:w="109"/>
        <w:gridCol w:w="109"/>
        <w:gridCol w:w="211"/>
        <w:gridCol w:w="1008"/>
        <w:gridCol w:w="109"/>
        <w:gridCol w:w="109"/>
        <w:gridCol w:w="109"/>
        <w:gridCol w:w="109"/>
        <w:gridCol w:w="211"/>
        <w:gridCol w:w="1113"/>
        <w:gridCol w:w="109"/>
        <w:gridCol w:w="109"/>
        <w:gridCol w:w="109"/>
        <w:gridCol w:w="109"/>
        <w:gridCol w:w="211"/>
        <w:gridCol w:w="1113"/>
        <w:gridCol w:w="109"/>
        <w:gridCol w:w="109"/>
        <w:gridCol w:w="109"/>
        <w:gridCol w:w="109"/>
        <w:gridCol w:w="109"/>
        <w:gridCol w:w="109"/>
        <w:gridCol w:w="109"/>
        <w:gridCol w:w="109"/>
        <w:gridCol w:w="109"/>
        <w:gridCol w:w="109"/>
        <w:gridCol w:w="109"/>
        <w:gridCol w:w="109"/>
        <w:gridCol w:w="156"/>
      </w:tblGrid>
      <w:tr>
        <w:trPr/>
        <w:tc>
          <w:tcPr>
            <w:tcW w:w="97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gridSpan w:val="6"/>
            <w:tcBorders/>
          </w:tcPr>
          <w:p>
            <w:pPr>
              <w:pStyle w:val="TableContents"/>
              <w:bidi w:val="0"/>
              <w:spacing w:before="0" w:after="283"/>
              <w:jc w:val="left"/>
              <w:rPr>
                <w:sz w:val="4"/>
                <w:szCs w:val="4"/>
              </w:rPr>
            </w:pPr>
            <w:r>
              <w:rPr>
                <w:sz w:val="4"/>
                <w:szCs w:val="4"/>
              </w:rPr>
            </w:r>
          </w:p>
        </w:tc>
      </w:tr>
      <w:tr>
        <w:trPr/>
        <w:tc>
          <w:tcPr>
            <w:tcW w:w="2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12,529,567 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7,830,544 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19,544,866 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11,293,535 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2,437,924 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1,927,818 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4,766,424 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3,993,970 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(14,967,491)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(9,758,362)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(24,311,290)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(15,287,505)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418,663 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903,772 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938,802 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1,862,289 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133,490 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(14,558,426)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(8,827,510)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(23,238,998)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(13,404,771)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per common share,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basic and diluted</w:t>
            </w:r>
          </w:p>
        </w:tc>
        <w:tc>
          <w:tcPr>
            <w:tcW w:w="132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95,183,718 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95,186,935 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95,183,718 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95,186,935 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center"/>
        <w:rPr/>
      </w:pPr>
      <w:r>
        <w:rPr>
          <w:rFonts w:ascii="Times New Roman;serif" w:hAnsi="Times New Roman;serif"/>
          <w:b w:val="false"/>
          <w:i/>
          <w:color w:val="000000"/>
          <w:sz w:val="20"/>
        </w:rPr>
        <w:t xml:space="preserve">The accompanying notes are an integral part of these unaudited condensed consolidated financial statements. </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Context Therapeutics Inc.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76" w:before="0" w:after="0"/>
        <w:jc w:val="center"/>
        <w:rPr>
          <w:color w:val="000000"/>
        </w:rPr>
      </w:pPr>
      <w:r>
        <w:rPr>
          <w:color w:val="000000"/>
        </w:rPr>
        <w:t> </w:t>
      </w:r>
    </w:p>
    <w:tbl>
      <w:tblPr>
        <w:tblW w:w="9838" w:type="dxa"/>
        <w:jc w:val="center"/>
        <w:tblInd w:w="0" w:type="dxa"/>
        <w:tblLayout w:type="fixed"/>
        <w:tblCellMar>
          <w:top w:w="28" w:type="dxa"/>
          <w:left w:w="28" w:type="dxa"/>
          <w:bottom w:w="28" w:type="dxa"/>
          <w:right w:w="28" w:type="dxa"/>
        </w:tblCellMar>
      </w:tblPr>
      <w:tblGrid>
        <w:gridCol w:w="927"/>
        <w:gridCol w:w="815"/>
        <w:gridCol w:w="823"/>
        <w:gridCol w:w="304"/>
        <w:gridCol w:w="304"/>
        <w:gridCol w:w="308"/>
        <w:gridCol w:w="109"/>
        <w:gridCol w:w="109"/>
        <w:gridCol w:w="109"/>
        <w:gridCol w:w="196"/>
        <w:gridCol w:w="646"/>
        <w:gridCol w:w="109"/>
        <w:gridCol w:w="109"/>
        <w:gridCol w:w="109"/>
        <w:gridCol w:w="109"/>
        <w:gridCol w:w="196"/>
        <w:gridCol w:w="1051"/>
        <w:gridCol w:w="109"/>
        <w:gridCol w:w="109"/>
        <w:gridCol w:w="109"/>
        <w:gridCol w:w="109"/>
        <w:gridCol w:w="196"/>
        <w:gridCol w:w="1126"/>
        <w:gridCol w:w="109"/>
        <w:gridCol w:w="109"/>
        <w:gridCol w:w="109"/>
        <w:gridCol w:w="109"/>
        <w:gridCol w:w="196"/>
        <w:gridCol w:w="961"/>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3" w:type="dxa"/>
            <w:gridSpan w:val="27"/>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2"/>
              </w:rPr>
            </w:pPr>
            <w:r>
              <w:rPr>
                <w:rFonts w:ascii="Times New Roman;serif" w:hAnsi="Times New Roman;serif"/>
                <w:b/>
                <w:color w:val="000000"/>
                <w:sz w:val="12"/>
              </w:rPr>
              <w:t>Additional</w:t>
            </w:r>
          </w:p>
          <w:p>
            <w:pPr>
              <w:pStyle w:val="TableContents"/>
              <w:bidi w:val="0"/>
              <w:spacing w:lineRule="auto" w:line="300" w:before="0" w:after="2"/>
              <w:jc w:val="center"/>
              <w:rPr>
                <w:rFonts w:ascii="Times New Roman;serif" w:hAnsi="Times New Roman;serif"/>
                <w:b/>
                <w:color w:val="000000"/>
                <w:sz w:val="12"/>
              </w:rPr>
            </w:pPr>
            <w:r>
              <w:rPr>
                <w:rFonts w:ascii="Times New Roman;serif" w:hAnsi="Times New Roman;serif"/>
                <w:b/>
                <w:color w:val="000000"/>
                <w:sz w:val="12"/>
              </w:rPr>
              <w:t>Paid-in</w:t>
            </w:r>
          </w:p>
          <w:p>
            <w:pPr>
              <w:pStyle w:val="TableContents"/>
              <w:bidi w:val="0"/>
              <w:spacing w:lineRule="auto" w:line="300" w:before="0" w:after="2"/>
              <w:jc w:val="center"/>
              <w:rPr>
                <w:rFonts w:ascii="Times New Roman;serif" w:hAnsi="Times New Roman;serif"/>
                <w:b/>
                <w:color w:val="000000"/>
                <w:sz w:val="12"/>
              </w:rPr>
            </w:pPr>
            <w:r>
              <w:rPr>
                <w:rFonts w:ascii="Times New Roman;serif" w:hAnsi="Times New Roman;serif"/>
                <w:b/>
                <w:color w:val="000000"/>
                <w:sz w:val="12"/>
              </w:rP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2"/>
              </w:rPr>
            </w:pPr>
            <w:r>
              <w:rPr>
                <w:rFonts w:ascii="Times New Roman;serif" w:hAnsi="Times New Roman;serif"/>
                <w:b/>
                <w:color w:val="000000"/>
                <w:sz w:val="12"/>
              </w:rPr>
              <w:t>Accumulated</w:t>
            </w:r>
          </w:p>
          <w:p>
            <w:pPr>
              <w:pStyle w:val="TableContents"/>
              <w:bidi w:val="0"/>
              <w:spacing w:lineRule="auto" w:line="300" w:before="0" w:after="2"/>
              <w:jc w:val="center"/>
              <w:rPr>
                <w:rFonts w:ascii="Times New Roman;serif" w:hAnsi="Times New Roman;serif"/>
                <w:b/>
                <w:color w:val="000000"/>
                <w:sz w:val="12"/>
              </w:rPr>
            </w:pPr>
            <w:r>
              <w:rPr>
                <w:rFonts w:ascii="Times New Roman;serif" w:hAnsi="Times New Roman;serif"/>
                <w:b/>
                <w:color w:val="000000"/>
                <w:sz w:val="12"/>
              </w:rP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2"/>
              </w:rPr>
            </w:pPr>
            <w:r>
              <w:rPr>
                <w:rFonts w:ascii="Times New Roman;serif" w:hAnsi="Times New Roman;serif"/>
                <w:b/>
                <w:color w:val="000000"/>
                <w:sz w:val="12"/>
              </w:rPr>
              <w:t>Total</w:t>
            </w:r>
          </w:p>
          <w:p>
            <w:pPr>
              <w:pStyle w:val="TableContents"/>
              <w:bidi w:val="0"/>
              <w:spacing w:lineRule="auto" w:line="300" w:before="0" w:after="2"/>
              <w:jc w:val="center"/>
              <w:rPr>
                <w:rFonts w:ascii="Times New Roman;serif" w:hAnsi="Times New Roman;serif"/>
                <w:b/>
                <w:color w:val="000000"/>
                <w:sz w:val="12"/>
              </w:rPr>
            </w:pPr>
            <w:r>
              <w:rPr>
                <w:rFonts w:ascii="Times New Roman;serif" w:hAnsi="Times New Roman;serif"/>
                <w:b/>
                <w:color w:val="000000"/>
                <w:sz w:val="12"/>
              </w:rPr>
              <w:t>Stockholders’</w:t>
            </w:r>
          </w:p>
          <w:p>
            <w:pPr>
              <w:pStyle w:val="TableContents"/>
              <w:bidi w:val="0"/>
              <w:spacing w:lineRule="auto" w:line="300" w:before="0" w:after="2"/>
              <w:jc w:val="center"/>
              <w:rPr>
                <w:rFonts w:ascii="Times New Roman;serif" w:hAnsi="Times New Roman;serif"/>
                <w:b/>
                <w:color w:val="000000"/>
                <w:sz w:val="12"/>
              </w:rPr>
            </w:pPr>
            <w:r>
              <w:rPr>
                <w:rFonts w:ascii="Times New Roman;serif" w:hAnsi="Times New Roman;serif"/>
                <w:b/>
                <w:color w:val="000000"/>
                <w:sz w:val="12"/>
              </w:rPr>
              <w:t>Equity</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Balance at January 1, 2026</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91,879,177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91,879 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191,285,157 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(130,903,309)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60,473,727 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409,220 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409,220 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(8,680,572)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(8,680,572)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91,879,177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91,879 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191,694,377 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(139,583,881)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52,202,375 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528,102 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528,102 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16" w:type="dxa"/>
            <w:gridSpan w:val="3"/>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(14,558,426)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(14,558,426)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91,879,177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91,879 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192,222,479 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(154,142,307)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38,172,051 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3" w:type="dxa"/>
            <w:gridSpan w:val="27"/>
            <w:tcBorders/>
            <w:tcMar>
              <w:top w:w="0" w:type="dxa"/>
              <w:left w:w="0" w:type="dxa"/>
              <w:bottom w:w="0" w:type="dxa"/>
              <w:right w:w="0" w:type="dxa"/>
            </w:tcMar>
            <w:vAlign w:val="center"/>
          </w:tcPr>
          <w:p>
            <w:pPr>
              <w:pStyle w:val="TableContents"/>
              <w:bidi w:val="0"/>
              <w:spacing w:lineRule="auto" w:line="300" w:before="0" w:after="2"/>
              <w:ind w:left="0" w:right="0" w:hanging="180"/>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56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2"/>
              </w:rPr>
            </w:pPr>
            <w:r>
              <w:rPr>
                <w:rFonts w:ascii="Times New Roman;serif" w:hAnsi="Times New Roman;serif"/>
                <w:b/>
                <w:color w:val="000000"/>
                <w:sz w:val="12"/>
              </w:rPr>
              <w:t xml:space="preserve">Common Stock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2"/>
              </w:rPr>
            </w:pPr>
            <w:r>
              <w:rPr>
                <w:rFonts w:ascii="Times New Roman;serif" w:hAnsi="Times New Roman;serif"/>
                <w:b/>
                <w:color w:val="000000"/>
                <w:sz w:val="12"/>
              </w:rPr>
              <w:t>Additional</w:t>
            </w:r>
          </w:p>
          <w:p>
            <w:pPr>
              <w:pStyle w:val="TableContents"/>
              <w:bidi w:val="0"/>
              <w:spacing w:lineRule="auto" w:line="300" w:before="0" w:after="2"/>
              <w:jc w:val="center"/>
              <w:rPr>
                <w:rFonts w:ascii="Times New Roman;serif" w:hAnsi="Times New Roman;serif"/>
                <w:b/>
                <w:color w:val="000000"/>
                <w:sz w:val="12"/>
              </w:rPr>
            </w:pPr>
            <w:r>
              <w:rPr>
                <w:rFonts w:ascii="Times New Roman;serif" w:hAnsi="Times New Roman;serif"/>
                <w:b/>
                <w:color w:val="000000"/>
                <w:sz w:val="12"/>
              </w:rPr>
              <w:t>Paid-in</w:t>
            </w:r>
          </w:p>
          <w:p>
            <w:pPr>
              <w:pStyle w:val="TableContents"/>
              <w:bidi w:val="0"/>
              <w:spacing w:lineRule="auto" w:line="300" w:before="0" w:after="2"/>
              <w:jc w:val="center"/>
              <w:rPr>
                <w:rFonts w:ascii="Times New Roman;serif" w:hAnsi="Times New Roman;serif"/>
                <w:b/>
                <w:color w:val="000000"/>
                <w:sz w:val="12"/>
              </w:rPr>
            </w:pPr>
            <w:r>
              <w:rPr>
                <w:rFonts w:ascii="Times New Roman;serif" w:hAnsi="Times New Roman;serif"/>
                <w:b/>
                <w:color w:val="000000"/>
                <w:sz w:val="12"/>
              </w:rPr>
              <w:t xml:space="preserve">Capital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2"/>
              </w:rPr>
            </w:pPr>
            <w:r>
              <w:rPr>
                <w:rFonts w:ascii="Times New Roman;serif" w:hAnsi="Times New Roman;serif"/>
                <w:b/>
                <w:color w:val="000000"/>
                <w:sz w:val="12"/>
              </w:rPr>
              <w:t>Accumulated</w:t>
            </w:r>
          </w:p>
          <w:p>
            <w:pPr>
              <w:pStyle w:val="TableContents"/>
              <w:bidi w:val="0"/>
              <w:spacing w:lineRule="auto" w:line="300" w:before="0" w:after="2"/>
              <w:jc w:val="center"/>
              <w:rPr>
                <w:rFonts w:ascii="Times New Roman;serif" w:hAnsi="Times New Roman;serif"/>
                <w:b/>
                <w:color w:val="000000"/>
                <w:sz w:val="12"/>
              </w:rPr>
            </w:pPr>
            <w:r>
              <w:rPr>
                <w:rFonts w:ascii="Times New Roman;serif" w:hAnsi="Times New Roman;serif"/>
                <w:b/>
                <w:color w:val="000000"/>
                <w:sz w:val="12"/>
              </w:rPr>
              <w:t xml:space="preserve">Deficit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00" w:before="0" w:after="2"/>
              <w:ind w:left="0" w:right="0" w:hanging="180"/>
              <w:jc w:val="center"/>
              <w:rPr>
                <w:rFonts w:ascii="Times New Roman;serif" w:hAnsi="Times New Roman;serif"/>
                <w:b/>
                <w:color w:val="000000"/>
                <w:sz w:val="12"/>
              </w:rPr>
            </w:pPr>
            <w:r>
              <w:rPr>
                <w:rFonts w:ascii="Times New Roman;serif" w:hAnsi="Times New Roman;serif"/>
                <w:b/>
                <w:color w:val="000000"/>
                <w:sz w:val="12"/>
              </w:rPr>
              <w:t>Total</w:t>
              <w:br/>
              <w:t>Stockholders’</w:t>
              <w:br/>
              <w:t>Equity</w:t>
            </w:r>
          </w:p>
        </w:tc>
      </w:tr>
      <w:tr>
        <w:trPr/>
        <w:tc>
          <w:tcPr>
            <w:tcW w:w="256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Balance at January 1, 2025</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89,704,194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89,704 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189,956,252 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(94,779,694)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95,266,262 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293,717 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293,717 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(4,577,261)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(4,577,261)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89,704,194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89,704 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190,249,969 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(99,356,955)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90,982,718 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389,114 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389,114 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(8,827,510)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(8,827,510)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89,704,194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89,704 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190,639,083 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(108,184,465)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82,544,322 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1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Context Therapeutics Inc.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2489"/>
        <w:gridCol w:w="2188"/>
        <w:gridCol w:w="2204"/>
        <w:gridCol w:w="211"/>
        <w:gridCol w:w="1155"/>
        <w:gridCol w:w="109"/>
        <w:gridCol w:w="109"/>
        <w:gridCol w:w="109"/>
        <w:gridCol w:w="109"/>
        <w:gridCol w:w="211"/>
        <w:gridCol w:w="1155"/>
        <w:gridCol w:w="156"/>
      </w:tblGrid>
      <w:tr>
        <w:trPr/>
        <w:tc>
          <w:tcPr>
            <w:tcW w:w="2489"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(23,238,998)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(13,404,771)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Acquired in-process research and development charge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937,322 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682,831 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8,120 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Reduction in the carrying amount of operating lease right-of-use asset</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70,244 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52,737 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(470,017)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34,972 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755,322 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958,960 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(2,946,188)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855,651 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(68,130)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(52,061)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(18,449,111)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(10,863,561)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4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Acquired in-process research and development</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(33,948)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(4,555,746)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(33,948)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4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Payment of offering costs from the sale of common stock from ATM facility</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(15,268)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(15,268)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(23,004,857)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(10,912,777)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65,995,228 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94,429,824 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42,990,371 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83,517,047 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Supplemental disclosure of non-cash activities:</w:t>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Right-of-use asset obtained in exchange for lease obligation</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Acquired in-process research and development charge included in accrued expenses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CONTEXT THERAPEUTICS INC.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(1) Organization and Description of Business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Context Therapeutics Inc. (the “Company”) is a clinical-stage biopharmaceutical company advancing T cell engaging (“TCE”) bispecific antibodies (“bsAb”) for solid tumors. The Company’s product candidates include CTIM-76, a Claudin 6 (“CLDN6”) x CD3 TCE, and CT-202, a Nectin cell adhesion protein 4 (“Nectin-4”) x CD3 TCE.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had also been developing CT-95, a Mesothelin (“MSLN”) x CD3 TCE. However, on August 5, 2026, the Company announced a portfolio prioritization and capital allocation strategy, pursuant to which it discontinued internal development of CT-95 and will focus its development efforts on CTIM-76 and CT-202.</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was organized in April 2015 under the laws of the State of Delaware. The Company is headquartered in Philadelphia, Pennsylvania.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(2) Risks and Liquidity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has incurred losses and negative cash flows from operations since inception and had an accumulated deficit of $154.1 million as of June 30, 2026. The Company anticipates incurring additional losses until such time, if ever, that it can generate significant revenues from its current or any future product candidates. The Company believes its cash and cash equivalents of $43.0 million as of June 30, 2026 are sufficient to fund its projected operations for a period of at least 12 months from the issuance date of these unaudited condensed consolidated financial statements. Substantial additional funding will be needed by the Company to fund its operations and to develop its current and any future product candidates.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plans to seek additional capital in the future through a combination of equity offerings, debt financings, collaborations, strategic transactions and/or marketing, distribution or licensing arrangements to carry out the Company’s planned development activities. If additional capital is not available when required, the Company may need to delay or curtail its operations until such funding is received. There is no assurance that such financing will be available when needed or on acceptable terms. Various internal and external factors will affect whether and when the Company’s current or any future product candidates become approved for marketing and successful commercialization. The regulatory approval and market acceptance of the Company’s current and any future product candidates, length of time and cost of developing and commercializing these product candidates and/or failure of them at any stage of the approval process will materially affect the Company’s financial condition and future operations.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faces risks associated with companies whose products are in development. These risks include the need for additional financing to complete its research and development, achieving its research and development objectives, defending its intellectual property rights, recruiting and retaining skilled personnel, and dependence on key members of management, among others.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(3) Basis of Presentation and Summary of Significant Accounting Policies </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 xml:space="preserve">Basis of Presentation and Principles of Consolidation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pursuant to the rules and regulations of the Securities and Exchange Commission (“SEC”). Certain information and note disclosures normally included in annual financial statements prepared in accordance with U.S. generally accepted accounting principles (“GAAP”) have been condensed or omitted pursuant to those rules and regulations, although the Company believes that the disclosures made are adequate to make the information not misleading. Any reference in these notes to applicable guidance is meant to refer to GAAP as found in the Accounting Standards Codification (“ASC”) and Accounting Standards Updates (“ASU”) of the Financial Accounting Standards Board (“FASB”).</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opinion of management, the accompanying unaudited condensed consolidated financial statements include all normal and recurring adjustments (which consist primarily of accruals and estimates that impact the unaudited condensed consolidated financial statements) considered necessary to present fairly the Company’s financial position as of June 30, 2026, and its results of operations and cash flows for the three and six months ended June 30, 2026 and 2025. Operating results for the three and six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months ended June 30, 2026 are not necessarily indicative of the results that may be expected for the year ending December 31, 2026. The unaudited condensed consolidated financial statements, presented herein, do not contain the required disclosures under GAAP for annual financial statements. The accompanying unaudited condensed consolidated financial statements should be read in conjunction with the annual audited consolidated financial statements and related notes as of and for the year ended December 31, 2025. The consolidated financial information as of December 31, 2025 included herein has been derived from the annual audited consolidated financial statements.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financial statements include the accounts of the Company, Context Therapeutics LLC, Context Biopharma, Inc. and Context Therapeutics Ireland Limited., the Company’s wholly-owned subsidiaries. All intercompany accounts and transactions have been eliminated in consolidation. </w:t>
      </w:r>
    </w:p>
    <w:p>
      <w:pPr>
        <w:pStyle w:val="TextBody"/>
        <w:bidi w:val="0"/>
        <w:spacing w:lineRule="auto" w:line="276" w:before="360" w:after="283"/>
        <w:jc w:val="left"/>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the unaudited condensed consolidated financial statements in conformity with GAAP requires management to make estimates and assumptions that affect the reported amounts of assets and liabilities and disclosure of contingent assets and contingent liabilities at the date of the unaudited condensed consolidated financial statements and the reported amounts of expenses during the reporting period. Actual results could differ from those estimates.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Estimates and assumptions are periodically reviewed, and the effects of the revisions are reflected in the accompanying unaudited condensed consolidated financial statements in the period they are determined to be necessary. Significant estimates and assumptions made in the accompanying unaudited condensed consolidated financial statements include, but are not limited to, share-based compensation arrangements, the fair value of warrants, and in recording the prepayments, accruals and associated expense for research and development activities performed for the Company by third parties.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 xml:space="preserve">Concentrations of Credit Risk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the Company to significant concentrations of credit risk consist primarily of cash and cash equivalents. The Company maintains deposits in federally insured financial institutions in excess of federally insured limits. The Company has not experienced any losses in such accounts.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Operating segments are defined as components of an enterprise about which separate discrete information is available for evaluation by the chief operating decision maker, or decision-making group, in deciding how to allocate resources in assessing performance. The Company has one reportable segment which consists of the development of clinical and preclinical product candidates for the advancement of therapies to treat solid tumors. The Company’s chief operating decision maker (“CODM”) is the chief executive officer.</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accounting policies of the Company’s segment are the same as those described in the summary of significant accounting policies. The CODM assesses performance for the Company’s segment based on net loss, which is reported on the condensed consolidated statements of operations as net loss. The measure of segment assets is reported on the condensed consolidated balance sheets as total assets.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To date, the Company has not generated any product revenue. The Company expects to continue to incur significant expenses and operating losses for the foreseeable future as it advances product candidates through all stages of development and clinical trials and, ultimately, seeks regulatory approval. As such, the CODM uses cash forecast models in deciding how to deploy capital at the Company. Such cash forecast models are reviewed to assess the entity-wide operating results and performance. Net loss is used to monitor budget versus actual results. Monitoring budgeted versus actual results is used in assessing performance of the segment, along with cash forecast models. The CODM is regularly provided with net loss and consolidated assets, which are reported on the unaudited condensed consolidated statements of operations and unaudited condensed consolidated balance sheets, respectively.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the significant expense and income categories regularly reviewed by the CODM for the three and six months ended June 30, 2026 and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tbl>
      <w:tblPr>
        <w:tblW w:w="9887" w:type="dxa"/>
        <w:jc w:val="center"/>
        <w:tblInd w:w="0" w:type="dxa"/>
        <w:tblLayout w:type="fixed"/>
        <w:tblCellMar>
          <w:top w:w="28" w:type="dxa"/>
          <w:left w:w="28" w:type="dxa"/>
          <w:bottom w:w="28" w:type="dxa"/>
          <w:right w:w="28" w:type="dxa"/>
        </w:tblCellMar>
      </w:tblPr>
      <w:tblGrid>
        <w:gridCol w:w="825"/>
        <w:gridCol w:w="724"/>
        <w:gridCol w:w="730"/>
        <w:gridCol w:w="196"/>
        <w:gridCol w:w="1036"/>
        <w:gridCol w:w="109"/>
        <w:gridCol w:w="109"/>
        <w:gridCol w:w="109"/>
        <w:gridCol w:w="109"/>
        <w:gridCol w:w="196"/>
        <w:gridCol w:w="946"/>
        <w:gridCol w:w="109"/>
        <w:gridCol w:w="109"/>
        <w:gridCol w:w="109"/>
        <w:gridCol w:w="109"/>
        <w:gridCol w:w="196"/>
        <w:gridCol w:w="1036"/>
        <w:gridCol w:w="109"/>
        <w:gridCol w:w="109"/>
        <w:gridCol w:w="109"/>
        <w:gridCol w:w="109"/>
        <w:gridCol w:w="196"/>
        <w:gridCol w:w="1036"/>
        <w:gridCol w:w="109"/>
        <w:gridCol w:w="109"/>
        <w:gridCol w:w="109"/>
        <w:gridCol w:w="109"/>
        <w:gridCol w:w="109"/>
        <w:gridCol w:w="109"/>
        <w:gridCol w:w="109"/>
        <w:gridCol w:w="109"/>
        <w:gridCol w:w="109"/>
        <w:gridCol w:w="109"/>
        <w:gridCol w:w="109"/>
        <w:gridCol w:w="109"/>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CTIM-76</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2,200,723 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1,445,862 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4,484,756 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2,506,621 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CT-95</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1,532,574 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1,488,530 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2,922,347 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2,253,560 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CT-202</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7,531,293 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3,149,238 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9,436,054 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4,132,811 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Personnel-related costs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1,949,765 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2,345,969 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4,153,352 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3,702,103 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699,552 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543,168 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1,388,983 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1,186,390 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528,102 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389,114 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937,322 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682,831 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segment items (a)</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525,482 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396,481 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988,476 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823,189 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(14,967,491)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(9,758,362)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(24,311,290)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(15,287,505)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418,663 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903,772 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938,802 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1,862,289 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133,490 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Segment and 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(14,558,426)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(8,827,510)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(23,238,998)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(13,404,771)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(a)Other segment items included in Segment loss mainly includes board fees, insurance, facilities and information technology costs.</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tracks outsourced development costs and other external research and development costs to specific product candidates on a program-by-program basis. However, it does not track internal research and development expenses on a program-by-program basis as they primarily relate to compensation, early research and other costs which are deployed across multiple projects under development.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The carrying amounts of the Company’s financial instruments, which include cash and cash equivalents and accounts payable, approximate their fair values given their short-term nature.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considers all highly-liquid investments that have original maturities of three months or less when acquired to be cash equivalents. Cash equivalents consist of amounts invested in money market accounts. At June 30, 2026, the Company’s cash and cash equivalent balances exceeded federally insured limits by approximately $42.5 million.</w:t>
      </w:r>
    </w:p>
    <w:p>
      <w:pPr>
        <w:pStyle w:val="TextBody"/>
        <w:bidi w:val="0"/>
        <w:spacing w:lineRule="auto" w:line="276" w:before="0" w:after="0"/>
        <w:jc w:val="left"/>
        <w:rPr/>
      </w:pPr>
      <w:r>
        <w:rPr>
          <w:rFonts w:ascii="Times New Roman;serif" w:hAnsi="Times New Roman;serif"/>
          <w:b w:val="false"/>
          <w:color w:val="000000"/>
          <w:sz w:val="20"/>
        </w:rPr>
        <w:br/>
      </w:r>
      <w:r>
        <w:rPr>
          <w:rFonts w:ascii="Times New Roman;serif" w:hAnsi="Times New Roman;serif"/>
          <w:b/>
          <w:i/>
          <w:color w:val="000000"/>
          <w:sz w:val="20"/>
        </w:rPr>
        <w:t xml:space="preserve">Deferred Offering Costs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capitalizes certain legal, professional, accounting and other third-party fees that are directly associated with in-process equity financings as deferred offering costs until such financings are consummated. After consummation of an equity financing, the costs are recorded as a reduction of additional paid-in capital generated as a result of such offering. Should an in-process equity financing be abandoned, the deferred offering costs will be expensed immediately as a charge to operating expenses in the condensed consolidated statements of operations. As of June 30, 2026 and December 31, 2025, there was $0.2 million of deferred offering costs included in prepaid expenses and other current assets.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consist of office equipment, furniture, and leasehold improvements and are recorded at cost. Property and equipment are depreciated on a straight-line basis over their estimated useful lives. Leasehold improvements are amortized over the shorter of their economic lives or the remaining lease term.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determines if an arrangement is a lease at inception. Balances recognized related to operating leases are included in operating lease right-of-use assets and operating lease liabilities in the condensed consolidated balance sheets. Operating lease right-of-use assets and operating lease liabilities are recognized based on the present value of the future minimum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payments over the lease term at the commencement date. As the Company’s lease does not provide an implicit rate, the Company uses its incremental borrowing rate based on the information available at the commencement date in determining the present value of future payments. The Company recognizes rent expense on a straight-line basis over the lease period and accrues for rent expense incurred but not yet paid.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Acquired In-Process Research and Development Costs</w:t>
      </w:r>
    </w:p>
    <w:p>
      <w:pPr>
        <w:pStyle w:val="TextBody"/>
        <w:bidi w:val="0"/>
        <w:spacing w:lineRule="auto" w:line="276" w:before="120" w:after="283"/>
        <w:jc w:val="left"/>
        <w:rPr/>
      </w:pPr>
      <w:r>
        <w:rPr>
          <w:rFonts w:ascii="Times New Roman;serif" w:hAnsi="Times New Roman;serif"/>
          <w:b w:val="false"/>
          <w:color w:val="000000"/>
          <w:sz w:val="20"/>
        </w:rPr>
        <w:t xml:space="preserve">Acquired in-process research and development (“IPR&amp;D”) expense consists of payments incurred in connection with the acquisition or licensing of products or technologies that do not meet the definition of a business under FASB ASC Topic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Payments for acquired IPR&amp;D as well as future product development milestones are initially treated as the acquisition of an asset but then immediately expensed as there is no future alternative use for the asset. These payments are reflected as a component of research and development expense as well as an investing activity outflow on the Company’s condensed consolidated statements of cash flows due to the nature of the underlying acquisition of an asset. See Note 8 for further discussion.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Costs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costs are expensed as incurred. Research and development costs include external costs of outside vendors engaged to conduct clinical studies and other research and development activities, acquired IPR&amp;D, salaries, share-based compensation, and other operational costs related to the Company’s research and development activities.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Costs for certain development activities, such as the provision of services for product candidate development, clinical and preclinical development and related supply and manufacturing costs, are estimated based on an evaluation of the progress to completion of specific tasks using data such as patient enrollment, clinical site activations or information provided to the Company by its vendors with respect to their actual costs incurred. Payments for these activities are based on the terms of the individual arrangements, which may differ from the pattern of costs incurred, and are reflected in the unaudited condensed consolidated financial statements as prepaid or accrued research and development expense, as the case may be. The estimates are adjusted to reflect the best information available at the time of the financial statement issuance. Although the Company does not expect its estimates to be materially different from amounts actually incurred, the Company’s estimate of the status and timing of services performed relative to the actual status and timing of services performed may vary.</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Nonrefundable advance payments for goods and services, including fees for clinical trial expenses, process development or manufacturing and distribution of clinical supplies that will be used in future research and development activities, are deferred and recognized as expense in the period that the related goods are consumed or services are performed.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 xml:space="preserve">Patent Costs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Costs related to filing and pursuing patent applications are recorded as general and administrative expense and expensed as incurred since recoverability of such expenditures is uncertain.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 xml:space="preserve">Share-Based Compensation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measures and recognizes share-based compensation expense for both employee and non-employee awards based on the grant date fair value of the awards. The Company recognizes share-based compensation expense on a straight-line basis over the requisite service period of the awards, which is generally the vesting period. The Company recognizes forfeitures as they occur.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classifies share-based compensation expense in its condensed consolidated statements of operations in the same manner in which the award recipients’ payroll costs are classified or in which the award recipients’ service payments are classified.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estimates the fair value of employee and non-employee stock awards as of the date of grant using the Black-Scholes option pricing model. The Company lacks Company-specific historical and implied volatility information. Therefore, management estimates the expected share price volatility based on the historical volatility of a publicly traded set of peer companies in addition to the Company's historical volatility information. Management expects to continue to do so until such time as it has adequate historical data regarding the volatility of its own publicly traded share price. The expected term of the Company’s stock awards has been determined utilizing the “simplified” method for awards that qualify as “plain-vanilla” stock awards. The risk-free interest rate is determined by reference to the yield curve of a zero-coupon U.S. Treasury bond on the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of grant of the award for time periods approximately equal to the expected term of the award. Expected dividend yield is based on the fact that the Company has never paid cash dividends on common stock and does not expect to pay any cash dividends in the foreseeable future.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 xml:space="preserve">Net Loss Per Share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of common stock is computed by dividing net loss by the weighted-average number of shares of common stock outstanding during each period, including outstanding pre-funded warrants to purchase shares of common stock that were issued in the private placement transaction in May 2024 (Note 6). Diluted net loss per share of common stock includes the effect, if any, from the potential exercise or conversion of securities, such as preferred stock, warrants (excluding pre-funded warrants) and share-based awards,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potentially dilutive securities have been excluded from the computation of diluted weighted-average shares of common stock outstanding, as they would be anti-dilutive:</w:t>
      </w:r>
    </w:p>
    <w:p>
      <w:pPr>
        <w:pStyle w:val="TextBody"/>
        <w:bidi w:val="0"/>
        <w:spacing w:before="0" w:after="0"/>
        <w:jc w:val="left"/>
        <w:rPr/>
      </w:pPr>
      <w:r>
        <w:rPr/>
      </w:r>
    </w:p>
    <w:tbl>
      <w:tblPr>
        <w:tblW w:w="4526" w:type="dxa"/>
        <w:jc w:val="center"/>
        <w:tblInd w:w="0" w:type="dxa"/>
        <w:tblLayout w:type="fixed"/>
        <w:tblCellMar>
          <w:top w:w="28" w:type="dxa"/>
          <w:left w:w="28" w:type="dxa"/>
          <w:bottom w:w="28" w:type="dxa"/>
          <w:right w:w="28" w:type="dxa"/>
        </w:tblCellMar>
      </w:tblPr>
      <w:tblGrid>
        <w:gridCol w:w="450"/>
        <w:gridCol w:w="396"/>
        <w:gridCol w:w="398"/>
        <w:gridCol w:w="540"/>
        <w:gridCol w:w="541"/>
        <w:gridCol w:w="156"/>
        <w:gridCol w:w="109"/>
        <w:gridCol w:w="109"/>
        <w:gridCol w:w="109"/>
        <w:gridCol w:w="540"/>
        <w:gridCol w:w="541"/>
        <w:gridCol w:w="156"/>
        <w:gridCol w:w="109"/>
        <w:gridCol w:w="109"/>
        <w:gridCol w:w="109"/>
        <w:gridCol w:w="154"/>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8,619,039 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5,977,979 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5,860,000 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5,860,000 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14,479,039 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11,837,979 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 xml:space="preserve">Emerging Growth Company Status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unaudited condensed consolidated financial statements may not be comparable to companies that comply with the new or revised accounting pronouncements as of public company effective dates.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before="0" w:after="0"/>
        <w:jc w:val="left"/>
        <w:rPr/>
      </w:pPr>
      <w:r>
        <w:rPr/>
      </w:r>
    </w:p>
    <w:p>
      <w:pPr>
        <w:pStyle w:val="TextBody"/>
        <w:bidi w:val="0"/>
        <w:spacing w:lineRule="auto" w:line="256" w:before="0" w:after="0"/>
        <w:jc w:val="left"/>
        <w:rPr/>
      </w:pPr>
      <w:r>
        <w:rPr>
          <w:rFonts w:ascii="Times New Roman;serif" w:hAnsi="Times New Roman;serif"/>
          <w:b w:val="false"/>
          <w:color w:val="000000"/>
          <w:sz w:val="20"/>
          <w:shd w:fill="FFFFFF" w:val="clear"/>
        </w:rPr>
        <w:t xml:space="preserve">In December 2023, the FASB issued ASU 2023-09, </w:t>
      </w:r>
      <w:r>
        <w:rPr>
          <w:rFonts w:ascii="Times New Roman;serif" w:hAnsi="Times New Roman;serif"/>
          <w:b w:val="false"/>
          <w:i/>
          <w:color w:val="000000"/>
          <w:sz w:val="20"/>
          <w:shd w:fill="FFFFFF" w:val="clear"/>
        </w:rPr>
        <w:t>Income Taxes (Topic 740): Improvements to Income Tax Disclosures</w:t>
      </w:r>
      <w:r>
        <w:rPr>
          <w:rFonts w:ascii="Times New Roman;serif" w:hAnsi="Times New Roman;serif"/>
          <w:b w:val="false"/>
          <w:color w:val="000000"/>
          <w:sz w:val="20"/>
          <w:shd w:fill="FFFFFF" w:val="clear"/>
        </w:rPr>
        <w:t xml:space="preserve">, which expands the disclosures required for income taxes. This ASU is effective for fiscal years beginning after December 15, 2024, with early adoption permitted. </w:t>
      </w:r>
      <w:r>
        <w:rPr>
          <w:rFonts w:ascii="Times New Roman;serif" w:hAnsi="Times New Roman;serif"/>
          <w:b w:val="false"/>
          <w:color w:val="000000"/>
          <w:sz w:val="20"/>
        </w:rPr>
        <w:t>The Company’s adoption of this pronouncement did not have a material effect on the Company’s disclosures.</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i/>
          <w:color w:val="000000"/>
          <w:sz w:val="20"/>
        </w:rPr>
      </w:pPr>
      <w:r>
        <w:rPr>
          <w:rFonts w:ascii="Times New Roman;serif" w:hAnsi="Times New Roman;serif"/>
          <w:b/>
          <w:i/>
          <w:color w:val="000000"/>
          <w:sz w:val="20"/>
        </w:rPr>
        <w:t>Recently Issued but Not yet Adopted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pPr>
      <w:r>
        <w:rPr>
          <w:rFonts w:ascii="Times New Roman;serif" w:hAnsi="Times New Roman;serif"/>
          <w:b w:val="false"/>
          <w:color w:val="000000"/>
          <w:sz w:val="20"/>
          <w:shd w:fill="FFFFFF" w:val="clear"/>
        </w:rPr>
        <w:t xml:space="preserve">In November 2024, the FASB issued ASU 2024-03, </w:t>
      </w:r>
      <w:r>
        <w:rPr>
          <w:rFonts w:ascii="Times New Roman;serif" w:hAnsi="Times New Roman;serif"/>
          <w:b w:val="false"/>
          <w:i/>
          <w:color w:val="000000"/>
          <w:sz w:val="20"/>
          <w:shd w:fill="FFFFFF" w:val="clear"/>
        </w:rPr>
        <w:t>Disaggregation of Income Statement Expenses.</w:t>
      </w:r>
      <w:r>
        <w:rPr>
          <w:color w:val="000000"/>
          <w:shd w:fill="FFFFFF" w:val="clear"/>
        </w:rPr>
        <w:t xml:space="preserve"> </w:t>
      </w:r>
      <w:r>
        <w:rPr>
          <w:rFonts w:ascii="Times New Roman;serif" w:hAnsi="Times New Roman;serif"/>
          <w:b w:val="false"/>
          <w:color w:val="000000"/>
          <w:sz w:val="20"/>
          <w:shd w:fill="FFFFFF" w:val="clear"/>
        </w:rPr>
        <w:t xml:space="preserve">ASU 2024-03 requires additional disclosure of specific types of expenses included in the expense captions presented on the face of the income statement as well as disclosures about selling expenses. ASU 2024-03 is effective for fiscal years beginning after December 15, 2026, and interim periods beginning after December 15, 2027, with early adoption permitted. The requirements will be applied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lineRule="auto" w:line="276" w:before="36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prospectively with the option for retrospective application. The Company is currently evaluating the impact that the adoption of ASU 2024-03 will have on its disclosures.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(4) Fair Value Measurements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utilizes a valuation hierarchy that prioritizes fair value measurements based on the types of inputs used for the various valuation techniques related to its financial assets and financial liabilities. The three levels of inputs used to measure fair value are described as follows: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Level 1 – Observable inputs such as quoted prices in active markets.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Level 2 – Inputs, other than the quoted prices in active markets, that are observable either directly or indirectly.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Level 3 – Unobservable inputs for which there is little or no market data, which require the reporting entity to develop its own assumptions.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the fair value hierarchy described above, the following table sets forth the Company’s assets and liabilities measured at fair value on a recurring basis: </w:t>
      </w:r>
    </w:p>
    <w:p>
      <w:pPr>
        <w:pStyle w:val="TextBody"/>
        <w:bidi w:val="0"/>
        <w:spacing w:before="240" w:after="283"/>
        <w:jc w:val="left"/>
        <w:rPr/>
      </w:pPr>
      <w:r>
        <w:rPr/>
      </w:r>
    </w:p>
    <w:tbl>
      <w:tblPr>
        <w:tblW w:w="9537" w:type="dxa"/>
        <w:jc w:val="left"/>
        <w:tblInd w:w="0" w:type="dxa"/>
        <w:tblLayout w:type="fixed"/>
        <w:tblCellMar>
          <w:top w:w="28" w:type="dxa"/>
          <w:left w:w="28" w:type="dxa"/>
          <w:bottom w:w="28" w:type="dxa"/>
          <w:right w:w="28" w:type="dxa"/>
        </w:tblCellMar>
      </w:tblPr>
      <w:tblGrid>
        <w:gridCol w:w="820"/>
        <w:gridCol w:w="719"/>
        <w:gridCol w:w="725"/>
        <w:gridCol w:w="265"/>
        <w:gridCol w:w="515"/>
        <w:gridCol w:w="521"/>
        <w:gridCol w:w="109"/>
        <w:gridCol w:w="109"/>
        <w:gridCol w:w="109"/>
        <w:gridCol w:w="893"/>
        <w:gridCol w:w="517"/>
        <w:gridCol w:w="519"/>
        <w:gridCol w:w="109"/>
        <w:gridCol w:w="109"/>
        <w:gridCol w:w="109"/>
        <w:gridCol w:w="701"/>
        <w:gridCol w:w="362"/>
        <w:gridCol w:w="363"/>
        <w:gridCol w:w="109"/>
        <w:gridCol w:w="109"/>
        <w:gridCol w:w="109"/>
        <w:gridCol w:w="728"/>
        <w:gridCol w:w="376"/>
        <w:gridCol w:w="532"/>
      </w:tblGrid>
      <w:tr>
        <w:trPr/>
        <w:tc>
          <w:tcPr>
            <w:tcW w:w="82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5"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Quoted Prices in Active</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Markets for Identical</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Assets (Level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Significant Other</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Observable Inputs</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Significant</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Unobservable Inputs</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(Level 3) </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Financial assets</w:t>
            </w:r>
          </w:p>
        </w:tc>
        <w:tc>
          <w:tcPr>
            <w:tcW w:w="13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Cash equivalents </w:t>
              <w:br/>
              <w:t>(Money Market Accounts)</w:t>
            </w:r>
          </w:p>
        </w:tc>
        <w:tc>
          <w:tcPr>
            <w:tcW w:w="26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42,547,138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42,547,138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color w:val="000000"/>
              </w:rPr>
            </w:pPr>
            <w:r>
              <w:rPr>
                <w:color w:val="000000"/>
              </w:rPr>
              <w:t>—</w:t>
            </w:r>
          </w:p>
        </w:tc>
      </w:tr>
    </w:tbl>
    <w:p>
      <w:pPr>
        <w:pStyle w:val="TextBody"/>
        <w:bidi w:val="0"/>
        <w:spacing w:before="0" w:after="0"/>
        <w:jc w:val="left"/>
        <w:rPr/>
      </w:pPr>
      <w:r>
        <w:rPr/>
      </w:r>
    </w:p>
    <w:tbl>
      <w:tblPr>
        <w:tblW w:w="9515" w:type="dxa"/>
        <w:jc w:val="left"/>
        <w:tblInd w:w="0" w:type="dxa"/>
        <w:tblLayout w:type="fixed"/>
        <w:tblCellMar>
          <w:top w:w="28" w:type="dxa"/>
          <w:left w:w="28" w:type="dxa"/>
          <w:bottom w:w="28" w:type="dxa"/>
          <w:right w:w="28" w:type="dxa"/>
        </w:tblCellMar>
      </w:tblPr>
      <w:tblGrid>
        <w:gridCol w:w="820"/>
        <w:gridCol w:w="719"/>
        <w:gridCol w:w="725"/>
        <w:gridCol w:w="243"/>
        <w:gridCol w:w="515"/>
        <w:gridCol w:w="521"/>
        <w:gridCol w:w="109"/>
        <w:gridCol w:w="109"/>
        <w:gridCol w:w="109"/>
        <w:gridCol w:w="893"/>
        <w:gridCol w:w="517"/>
        <w:gridCol w:w="519"/>
        <w:gridCol w:w="109"/>
        <w:gridCol w:w="109"/>
        <w:gridCol w:w="109"/>
        <w:gridCol w:w="701"/>
        <w:gridCol w:w="362"/>
        <w:gridCol w:w="363"/>
        <w:gridCol w:w="109"/>
        <w:gridCol w:w="109"/>
        <w:gridCol w:w="109"/>
        <w:gridCol w:w="728"/>
        <w:gridCol w:w="376"/>
        <w:gridCol w:w="532"/>
      </w:tblGrid>
      <w:tr>
        <w:trPr/>
        <w:tc>
          <w:tcPr>
            <w:tcW w:w="82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5"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Quoted Prices in Active</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Markets for Identical</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Significant Other</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Observable Inputs</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Significant</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Unobservable Inputs</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Financial assets</w:t>
            </w:r>
          </w:p>
        </w:tc>
        <w:tc>
          <w:tcPr>
            <w:tcW w:w="1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Cash equivalents </w:t>
            </w:r>
          </w:p>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(Money Market Accounts)</w:t>
            </w:r>
          </w:p>
        </w:tc>
        <w:tc>
          <w:tcPr>
            <w:tcW w:w="24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65,523,204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65,523,204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color w:val="000000"/>
              </w:rPr>
            </w:pPr>
            <w:r>
              <w:rPr>
                <w:color w:val="000000"/>
              </w:rPr>
              <w:t>—</w:t>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left"/>
        <w:rPr>
          <w:color w:val="000000"/>
          <w:shd w:fill="FFFF00" w:val="clear"/>
        </w:rPr>
      </w:pPr>
      <w:r>
        <w:rPr>
          <w:color w:val="000000"/>
          <w:shd w:fill="FFFF00" w:val="clear"/>
        </w:rPr>
        <w:t> </w:t>
      </w:r>
    </w:p>
    <w:p>
      <w:pPr>
        <w:pStyle w:val="TextBody"/>
        <w:bidi w:val="0"/>
        <w:spacing w:before="0" w:after="0"/>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(5) Accrued Expenses and Other Current Liabilities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w:t>
      </w:r>
    </w:p>
    <w:p>
      <w:pPr>
        <w:pStyle w:val="TextBody"/>
        <w:bidi w:val="0"/>
        <w:spacing w:before="0" w:after="0"/>
        <w:jc w:val="left"/>
        <w:rPr/>
      </w:pPr>
      <w:r>
        <w:rPr/>
      </w:r>
    </w:p>
    <w:tbl>
      <w:tblPr>
        <w:tblW w:w="6151" w:type="dxa"/>
        <w:jc w:val="center"/>
        <w:tblInd w:w="0" w:type="dxa"/>
        <w:tblLayout w:type="fixed"/>
        <w:tblCellMar>
          <w:top w:w="28" w:type="dxa"/>
          <w:left w:w="28" w:type="dxa"/>
          <w:bottom w:w="28" w:type="dxa"/>
          <w:right w:w="28" w:type="dxa"/>
        </w:tblCellMar>
      </w:tblPr>
      <w:tblGrid>
        <w:gridCol w:w="999"/>
        <w:gridCol w:w="878"/>
        <w:gridCol w:w="882"/>
        <w:gridCol w:w="211"/>
        <w:gridCol w:w="976"/>
        <w:gridCol w:w="109"/>
        <w:gridCol w:w="109"/>
        <w:gridCol w:w="109"/>
        <w:gridCol w:w="109"/>
        <w:gridCol w:w="278"/>
        <w:gridCol w:w="1288"/>
        <w:gridCol w:w="203"/>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24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6" w:before="1" w:after="1"/>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723,363 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1,384,430 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76" w:before="1" w:after="1"/>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3,482,903 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3,913,168 </w:t>
            </w:r>
          </w:p>
        </w:tc>
        <w:tc>
          <w:tcPr>
            <w:tcW w:w="203"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6" w:before="1" w:after="1"/>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201,220 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38,524 </w:t>
            </w:r>
          </w:p>
        </w:tc>
        <w:tc>
          <w:tcPr>
            <w:tcW w:w="203"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76" w:before="1" w:after="1"/>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38,968 </w:t>
            </w:r>
          </w:p>
        </w:tc>
        <w:tc>
          <w:tcPr>
            <w:tcW w:w="203"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6" w:before="1" w:after="1"/>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4,428,902 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5,375,090 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(6) Stockholders' Equity</w:t>
      </w:r>
    </w:p>
    <w:p>
      <w:pPr>
        <w:pStyle w:val="TextBody"/>
        <w:bidi w:val="0"/>
        <w:spacing w:lineRule="auto" w:line="268" w:before="120" w:after="60"/>
        <w:jc w:val="left"/>
        <w:rPr>
          <w:rFonts w:ascii="Times New Roman;serif" w:hAnsi="Times New Roman;serif"/>
          <w:b/>
          <w:i/>
          <w:color w:val="000000"/>
          <w:sz w:val="20"/>
        </w:rPr>
      </w:pPr>
      <w:r>
        <w:rPr>
          <w:rFonts w:ascii="Times New Roman;serif" w:hAnsi="Times New Roman;serif"/>
          <w:b/>
          <w:i/>
          <w:color w:val="000000"/>
          <w:sz w:val="20"/>
        </w:rPr>
        <w:t>Increase to Authorized Shares</w:t>
      </w:r>
    </w:p>
    <w:p>
      <w:pPr>
        <w:pStyle w:val="TextBody"/>
        <w:bidi w:val="0"/>
        <w:spacing w:lineRule="auto" w:line="276" w:before="0" w:after="0"/>
        <w:jc w:val="left"/>
        <w:rPr/>
      </w:pPr>
      <w:r>
        <w:rPr>
          <w:rFonts w:ascii="Times New Roman;serif" w:hAnsi="Times New Roman;serif"/>
          <w:b w:val="false"/>
          <w:color w:val="000000"/>
          <w:sz w:val="20"/>
        </w:rPr>
        <w:t>On June 24, 2026, the Company held its 2026 annual meeting of stockholders (the “Annual Meeting”). At the Annual Meeting, the Company’s stockholders approved, among other things, an amendment to the Company’s Amended and Restated Certificate of Incorporation to increase the number of authorized shares of common stock from 200,000,000</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300,000,000</w:t>
      </w:r>
      <w:r>
        <w:rPr>
          <w:rFonts w:ascii="Times New Roman;serif" w:hAnsi="Times New Roman;serif"/>
          <w:b w:val="false"/>
          <w:color w:val="000000"/>
          <w:sz w:val="24"/>
        </w:rPr>
        <w:t>.</w:t>
      </w:r>
    </w:p>
    <w:p>
      <w:pPr>
        <w:pStyle w:val="TextBody"/>
        <w:bidi w:val="0"/>
        <w:spacing w:lineRule="auto" w:line="268" w:before="120" w:after="60"/>
        <w:jc w:val="left"/>
        <w:rPr>
          <w:rFonts w:ascii="Times New Roman;serif" w:hAnsi="Times New Roman;serif"/>
          <w:b/>
          <w:i/>
          <w:color w:val="000000"/>
          <w:sz w:val="20"/>
        </w:rPr>
      </w:pPr>
      <w:r>
        <w:rPr>
          <w:rFonts w:ascii="Times New Roman;serif" w:hAnsi="Times New Roman;serif"/>
          <w:b/>
          <w:i/>
          <w:color w:val="000000"/>
          <w:sz w:val="20"/>
        </w:rPr>
        <w:t>Private Placement</w:t>
      </w:r>
    </w:p>
    <w:p>
      <w:pPr>
        <w:pStyle w:val="TextBody"/>
        <w:bidi w:val="0"/>
        <w:spacing w:lineRule="auto" w:line="268" w:before="120" w:after="60"/>
        <w:jc w:val="left"/>
        <w:rPr>
          <w:rFonts w:ascii="Times New Roman;serif" w:hAnsi="Times New Roman;serif"/>
          <w:b w:val="false"/>
          <w:color w:val="000000"/>
          <w:sz w:val="20"/>
        </w:rPr>
      </w:pPr>
      <w:r>
        <w:rPr>
          <w:rFonts w:ascii="Times New Roman;serif" w:hAnsi="Times New Roman;serif"/>
          <w:b w:val="false"/>
          <w:color w:val="000000"/>
          <w:sz w:val="20"/>
        </w:rPr>
        <w:t>On May 1, 2024, the Company entered into a securities purchase agreement (the “Purchase Agreement”) for the private placement (the “Private Placement”) of (i) 59,032,259 shares (the “PIPE Shares”) of the Company’s common stock at a purchase price of $1.55 per PIPE Share, and (ii) pre-funded warrants (the “Pre-Funded Warrants”) to purchase 5,482,741 shares of common stock at a purchase price of $1.549 per Pre-Funded Warrant. The Pre-Funded Warrants have an exercise price of $0.001 per share of common stock, are immediately exercisable and remain exercisable until exercised in full. During year ended December 31, 2025, 2,178,200 Pre-Funded Warrants were exercised on a cashless basis, resulting in the issuance of 2,174,983 shares of common stock. As of June 30, 2026, 3,304,541 Pre-Funded Warrants remained outstanding.</w:t>
      </w:r>
    </w:p>
    <w:p>
      <w:pPr>
        <w:pStyle w:val="TextBody"/>
        <w:bidi w:val="0"/>
        <w:spacing w:lineRule="auto" w:line="268" w:before="120" w:after="60"/>
        <w:jc w:val="left"/>
        <w:rPr>
          <w:rFonts w:ascii="Times New Roman;serif" w:hAnsi="Times New Roman;serif"/>
          <w:b/>
          <w:i/>
          <w:color w:val="000000"/>
          <w:sz w:val="20"/>
        </w:rPr>
      </w:pPr>
      <w:r>
        <w:rPr>
          <w:rFonts w:ascii="Times New Roman;serif" w:hAnsi="Times New Roman;serif"/>
          <w:b/>
          <w:i/>
          <w:color w:val="000000"/>
          <w:sz w:val="20"/>
        </w:rPr>
        <w:t xml:space="preserve">At-the-Market Facility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2, 2024, the Company entered into a Sales Agreement (the “ATM Sales Agreement”) with Leerink Partners LLC (the “Agent”). Pursuant to the terms of the ATM Sales Agreement, the Company may offer and sell shares of the Company’s common stock (the “ATM Shares”), having an aggregate offering amount of up to $75.0 million from time to time through the Agent. Sales of the ATM Shares may be made in sales deemed to be an “at-the-market offering” as defined in Rule 415 under the Securities Act of 1933, as amended. On October 24, 2025, the Company entered into Amendment No. 1 to Sales Agreement (the “ATM Sales Agreement Amendment”, and together with the ATM Sales Agreement, the “Amended ATM Sales Agreement”) to provide for an increase in the aggregate offering amount under the Amended ATM Sales Agreement, such that following the filing of a new prospectus supplement with respect to the ATM Shares on October 24, 2025, the Company may offer and sell ATM Shares having an aggregate offering price of up to $75.0 million, exclusive of ATM Shares previously sold in December 2024.</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 xml:space="preserve">Warrants for Common Stock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the Company had the following warrants outstanding to acquire common stock: </w:t>
      </w:r>
    </w:p>
    <w:p>
      <w:pPr>
        <w:pStyle w:val="TextBody"/>
        <w:bidi w:val="0"/>
        <w:spacing w:lineRule="auto" w:line="276" w:before="0" w:after="0"/>
        <w:jc w:val="left"/>
        <w:rPr>
          <w:color w:val="000000"/>
        </w:rPr>
      </w:pPr>
      <w:r>
        <w:rPr>
          <w:color w:val="000000"/>
        </w:rPr>
        <w:t> </w:t>
      </w:r>
    </w:p>
    <w:tbl>
      <w:tblPr>
        <w:tblW w:w="8753" w:type="dxa"/>
        <w:jc w:val="left"/>
        <w:tblInd w:w="0" w:type="dxa"/>
        <w:tblLayout w:type="fixed"/>
        <w:tblCellMar>
          <w:top w:w="28" w:type="dxa"/>
          <w:left w:w="28" w:type="dxa"/>
          <w:bottom w:w="28" w:type="dxa"/>
          <w:right w:w="28" w:type="dxa"/>
        </w:tblCellMar>
      </w:tblPr>
      <w:tblGrid>
        <w:gridCol w:w="1619"/>
        <w:gridCol w:w="1420"/>
        <w:gridCol w:w="1431"/>
        <w:gridCol w:w="349"/>
        <w:gridCol w:w="349"/>
        <w:gridCol w:w="351"/>
        <w:gridCol w:w="109"/>
        <w:gridCol w:w="109"/>
        <w:gridCol w:w="109"/>
        <w:gridCol w:w="568"/>
        <w:gridCol w:w="293"/>
        <w:gridCol w:w="294"/>
        <w:gridCol w:w="109"/>
        <w:gridCol w:w="109"/>
        <w:gridCol w:w="109"/>
        <w:gridCol w:w="417"/>
        <w:gridCol w:w="417"/>
        <w:gridCol w:w="591"/>
      </w:tblGrid>
      <w:tr>
        <w:trPr/>
        <w:tc>
          <w:tcPr>
            <w:tcW w:w="1619"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Outstanding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Exercise price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300" w:before="0" w:after="2"/>
              <w:ind w:left="0" w:right="0" w:hanging="180"/>
              <w:jc w:val="center"/>
              <w:rPr>
                <w:rFonts w:ascii="Times New Roman;serif" w:hAnsi="Times New Roman;serif"/>
                <w:b/>
                <w:color w:val="000000"/>
                <w:sz w:val="16"/>
              </w:rPr>
            </w:pPr>
            <w:r>
              <w:rPr>
                <w:rFonts w:ascii="Times New Roman;serif" w:hAnsi="Times New Roman;serif"/>
                <w:b/>
                <w:color w:val="000000"/>
                <w:sz w:val="16"/>
              </w:rPr>
              <w:t xml:space="preserve">Expiration dates </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Issued in connection with 2021 initial public offering</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October 2026</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Issued in connection with 2021 private placement</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June 2027</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Issued in 2022 for consulting services</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December 2027</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Issued in connection with 2024 private placement</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3,304,541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No expiration</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4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9,164,541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pPr>
      <w:r>
        <w:rPr>
          <w:rFonts w:ascii="Times New Roman;serif" w:hAnsi="Times New Roman;serif"/>
          <w:b/>
          <w:color w:val="000000"/>
          <w:sz w:val="20"/>
        </w:rPr>
        <w:t>(7) Share-Based Compensation</w:t>
      </w:r>
      <w:r>
        <w:rPr>
          <w:color w:val="000000"/>
        </w:rPr>
        <w:t xml:space="preserve">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2021, the Company adopted the 2021 Long-Term Performance Incentive Plan (“2021 Incentive Plan”). Under the 2021 Incentive Plan, the Company can grant stock options, stock appreciation rights, restricted stock, restricted stock units (“RSUs”) and stock grants. On its initial effective date, the 2021 Incentive Plan allowed for the issuance of up to 1,266,092 shares of common stock (the “Share Limit”). The Share Limit automatically increases on January 1st of each year, during the term of the 2021 Incentive Plan, commencing on January 1 of the year following the year in which the effective date occurs, in an amount equal to four percent (4%) of the total number of shares of the Company’s common stock outstanding on December 31st of the preceding calendar year; provided that the board of directors may determine that there will be no such increase or a smaller increase for any particular year. As of June 30, 2026, 2,574,972 shares remained available for future grants.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from time to time, the Company makes inducement grants of stock options to new hires, which awards are made pursuant to the Nasdaq’s inducement grant exception to the shareholder approval requirement for grants of equity compensation. </w:t>
      </w:r>
    </w:p>
    <w:p>
      <w:pPr>
        <w:pStyle w:val="TextBody"/>
        <w:bidi w:val="0"/>
        <w:spacing w:lineRule="auto" w:line="276" w:before="180" w:after="283"/>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Share-based awards generally vest over a period of one year to four years, and share-based awards that lapse or are forfeited are available to be granted again. The contractual life of all share-based awards is ten years. The expiration dates of the outstanding share-based awards range from January 2028 to June 2036.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measures share-based awards at their grant-date fair value and records compensation expense on a straight-line basis over the service period of the awards. Share-based compensation is allocated to employees and consultants based on their respective departments. All board of directors’ compensation is charged to general and administrative expense.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Share-based compensation expense related to the issuance of stock options was as follows for the three and six months ended June 30, 2026 and 2025: </w:t>
      </w:r>
    </w:p>
    <w:p>
      <w:pPr>
        <w:pStyle w:val="TextBody"/>
        <w:bidi w:val="0"/>
        <w:spacing w:before="0" w:after="0"/>
        <w:jc w:val="left"/>
        <w:rPr/>
      </w:pPr>
      <w:r>
        <w:rPr/>
      </w:r>
    </w:p>
    <w:tbl>
      <w:tblPr>
        <w:tblW w:w="8795" w:type="dxa"/>
        <w:jc w:val="center"/>
        <w:tblInd w:w="0" w:type="dxa"/>
        <w:tblLayout w:type="fixed"/>
        <w:tblCellMar>
          <w:top w:w="28" w:type="dxa"/>
          <w:left w:w="28" w:type="dxa"/>
          <w:bottom w:w="28" w:type="dxa"/>
          <w:right w:w="28" w:type="dxa"/>
        </w:tblCellMar>
      </w:tblPr>
      <w:tblGrid>
        <w:gridCol w:w="837"/>
        <w:gridCol w:w="734"/>
        <w:gridCol w:w="738"/>
        <w:gridCol w:w="211"/>
        <w:gridCol w:w="828"/>
        <w:gridCol w:w="109"/>
        <w:gridCol w:w="109"/>
        <w:gridCol w:w="109"/>
        <w:gridCol w:w="109"/>
        <w:gridCol w:w="211"/>
        <w:gridCol w:w="828"/>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113,814 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128,599 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168,898 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175,669 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414,288 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260,515 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768,424 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507,162 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528,102 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389,114 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937,322 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682,831 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weighted average assumptions used in the Black-Scholes option pricing model to determine the fair value of share-based awards granted during the six months ended June 30, 2026 and 2025 were as follows: </w:t>
      </w:r>
    </w:p>
    <w:p>
      <w:pPr>
        <w:pStyle w:val="TextBody"/>
        <w:bidi w:val="0"/>
        <w:spacing w:lineRule="auto" w:line="276" w:before="0" w:after="0"/>
        <w:jc w:val="left"/>
        <w:rPr>
          <w:color w:val="000000"/>
        </w:rPr>
      </w:pPr>
      <w:r>
        <w:rPr>
          <w:color w:val="000000"/>
        </w:rPr>
        <w:t> </w:t>
      </w:r>
    </w:p>
    <w:tbl>
      <w:tblPr>
        <w:tblW w:w="5002" w:type="dxa"/>
        <w:jc w:val="center"/>
        <w:tblInd w:w="0" w:type="dxa"/>
        <w:tblLayout w:type="fixed"/>
        <w:tblCellMar>
          <w:top w:w="28" w:type="dxa"/>
          <w:left w:w="28" w:type="dxa"/>
          <w:bottom w:w="28" w:type="dxa"/>
          <w:right w:w="28" w:type="dxa"/>
        </w:tblCellMar>
      </w:tblPr>
      <w:tblGrid>
        <w:gridCol w:w="951"/>
        <w:gridCol w:w="835"/>
        <w:gridCol w:w="838"/>
        <w:gridCol w:w="109"/>
        <w:gridCol w:w="109"/>
        <w:gridCol w:w="109"/>
        <w:gridCol w:w="278"/>
        <w:gridCol w:w="278"/>
        <w:gridCol w:w="283"/>
        <w:gridCol w:w="109"/>
        <w:gridCol w:w="109"/>
        <w:gridCol w:w="109"/>
        <w:gridCol w:w="258"/>
        <w:gridCol w:w="258"/>
        <w:gridCol w:w="369"/>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76" w:before="1" w:after="1"/>
              <w:jc w:val="left"/>
              <w:rPr>
                <w:rFonts w:ascii="Times New Roman;serif" w:hAnsi="Times New Roman;serif"/>
                <w:b w:val="false"/>
                <w:color w:val="000000"/>
                <w:sz w:val="20"/>
              </w:rPr>
            </w:pPr>
            <w:r>
              <w:rPr>
                <w:rFonts w:ascii="Times New Roman;serif" w:hAnsi="Times New Roman;serif"/>
                <w:b w:val="false"/>
                <w:color w:val="000000"/>
                <w:sz w:val="20"/>
              </w:rPr>
              <w:t>Expected stock price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105.38%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111.99%</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6" w:before="1" w:after="1"/>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4.30%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76" w:before="1" w:after="1"/>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5.94</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6" w:before="1" w:after="1"/>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color w:val="000000"/>
              </w:rPr>
            </w:pPr>
            <w:r>
              <w:rPr>
                <w:color w:val="000000"/>
              </w:rPr>
              <w:t>—</w:t>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share-based award activity for the periods presented: </w:t>
      </w:r>
    </w:p>
    <w:p>
      <w:pPr>
        <w:pStyle w:val="TextBody"/>
        <w:bidi w:val="0"/>
        <w:spacing w:lineRule="auto" w:line="276"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114"/>
        <w:gridCol w:w="970"/>
        <w:gridCol w:w="976"/>
        <w:gridCol w:w="470"/>
        <w:gridCol w:w="470"/>
        <w:gridCol w:w="471"/>
        <w:gridCol w:w="109"/>
        <w:gridCol w:w="109"/>
        <w:gridCol w:w="109"/>
        <w:gridCol w:w="369"/>
        <w:gridCol w:w="895"/>
        <w:gridCol w:w="192"/>
        <w:gridCol w:w="109"/>
        <w:gridCol w:w="109"/>
        <w:gridCol w:w="109"/>
        <w:gridCol w:w="485"/>
        <w:gridCol w:w="485"/>
        <w:gridCol w:w="486"/>
        <w:gridCol w:w="109"/>
        <w:gridCol w:w="109"/>
        <w:gridCol w:w="109"/>
        <w:gridCol w:w="289"/>
        <w:gridCol w:w="1339"/>
        <w:gridCol w:w="213"/>
      </w:tblGrid>
      <w:tr>
        <w:trPr/>
        <w:tc>
          <w:tcPr>
            <w:tcW w:w="111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Weighted Average</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Exercise Price Per</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Weighted Average</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Remaining</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Contractual Term</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(years)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2026</w:t>
            </w:r>
          </w:p>
        </w:tc>
        <w:tc>
          <w:tcPr>
            <w:tcW w:w="1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5,868,500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2,941,679 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2,905,500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6" w:before="1" w:after="1"/>
              <w:jc w:val="left"/>
              <w:rPr>
                <w:color w:val="000000"/>
              </w:rPr>
            </w:pPr>
            <w:r>
              <w:rPr>
                <w:color w:val="000000"/>
              </w:rPr>
              <w:t>     </w:t>
            </w:r>
            <w:r>
              <w:rPr>
                <w:rFonts w:ascii="Times New Roman;serif" w:hAnsi="Times New Roman;serif"/>
                <w:b w:val="false"/>
                <w:color w:val="000000"/>
                <w:sz w:val="20"/>
              </w:rPr>
              <w:t>Forfeited</w:t>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(154,961)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14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8,619,039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3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Vested and exercisable at June 30, 2026</w:t>
            </w:r>
          </w:p>
        </w:tc>
        <w:tc>
          <w:tcPr>
            <w:tcW w:w="14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3,793,321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at June 30, 2026</w:t>
            </w:r>
          </w:p>
        </w:tc>
        <w:tc>
          <w:tcPr>
            <w:tcW w:w="141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8,619,039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3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in the above table is calculated as the difference between the fair market value of the Company’s common stock price and the exercise price of the stock options. The weighted average fair value of share-based awards granted during the six months ended June 30, 2026 and 2025 was $1.74 and $0.65, respectively. As of June 30, 2026, the unrecognized compensation cost related to outstanding share-based awards was $5.9 million and is expected to be recognized as expense over a weighted-average period of approximately 3.32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(8) Commitments and Contingencies, including License Agreements</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Operating Lease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 July 2024, the Company amended its lease, that it initially entered into in March 2023 for corporate office space in Philadelphia, Pennsylvania, to extend the expiration date to November 30, 2026. In January 2026, the Company further amended the lease in order to renew the lease for one additional successive one-year period and obtain additional office space. The Company also retains the right to renew the lease for an additional 12-month term upon at least nine months advance notice to the landlord, including the right to remove the additional office space from that renewal.</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renewal option was not contemplated in the Company's calculation of its right-of-use asset and lease liability.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operating lease right-of-use asset and the operating lease liabilities were each $0.2 million, which were estimated using a discount rate of 11%. As of June 30, 2026, the remaining term of the Company’s noncancellable operating lease was 1.42 years. Future minimum lease payments under the sublease are $0.3 million at June 30, 2026.</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The Company recognizes rent expense on a straight-line basis over the lease period and accrues for rent expense incurred but not yet paid. Rent expense related to the Company’s operating lease was approximately $45,000 and $31,000 for the three months ended June 30, 2026 and 2025, respectively. Rent expense related to the Company’s operating lease was approximately $82,000</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$63,000 for the six months ended June 30, 2026 and 2025, respectively.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Employee Benefit Plans</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The Company established a defined contribution 401(k) plan in which employees may contribute up to 100% of their salary and bonus, subject to statutory maximum contribution amounts. The Company contributes a safe harbor minimum contribution equivalent to 3% of employees’ compensation. For the three months ended June 30, 2026 and 2025, the Company provided contributions of approximately $30,000 and $20,000, respectively. For the six months ended June 30, 2026 and 2025, the Company provided contributions of approximately $96,000</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$69,000, respectively.</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Collaboration and Licensing Agreement with Integral Molecular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2021, the Company entered into a collaboration and licensing agreement with Integral Molecular, Inc. (“Integral”) (the “Integral License Agreement”) for the development of a CLDN6 bsAb for cancer therapy. Under the terms of the Integral License Agreement, Integral and the Company developed a CLDN6 bsAb that is intended to trigger the activation of T cells and eliminate cancer cells displaying CLDN6. The Company will conduct preclinical and all clinical development, as well as regulatory and commercial activities through exclusive worldwide rights to develop and commercialize the novel CLDN6 candidates. The payment for the initial upfront license fee as well as subsequent payments for milestones achieved were expensed to acquired IPR&amp;D. As a part of the Integral License Agreement, Integral was eligible to receive remaining development and regulatory milestone payments totaling approximately $55.0 million, sales milestone payments totaling up to $130.0 million, and tiered royalties of up to 12% of net sales of certain products developed under the Integral License Agreement.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March 20, 2023, the Company amended the Integral License Agreement to remove the previously agreed to second milestone payment and to change the amount of the third milestone payment to increase such payment by the amount of the prior second milestone payment and to add payment for third-party research funding obtained and used by Integral in connection with the development of CTIM-76.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29, 2024, the Company further amended the Integral License Agreement (the “Integral Second Amendment”) to reflect updated financial terms. Integral’s right to receive certain future payments was reduced as follows: aggregate development and regulatory milestone payments were reduced from $55 million to $15 million, aggregate sales milestone payments were reduced from $130 million to $12.5 million, and a tiered royalty of 8-12% that commenced at first commercial sale was reduced to a flat royalty rate of 6% on net sales beginning no sooner than February 1, 2034. The Integral Second Amendment also narrowed the license grant from Integral to the Company to only cover CTIM-76, removed any further obligation to reimburse Integral for any independently obtained research funding Integral applied against CTIM-76 research, and included mutual releases by the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Asset Purchase Agreement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9, 2024, the Company entered into an asset purchase agreement (the “Asset Purchase Agreement”) pursuant to which the Company acquired CT-95 (formerly known as LNK-101), an MSLN x CD3 TCE bsAb, from Link (assignment for the benefit of creditors), LLC (“Link”), which succeeded to the assets of Link Immunotherapeutics Inc.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Asset Purchase Agreement, the Company purchased all of the assets from Link associated with CT-95, including patent rights, know-how, regulatory filings, and inventory of drug substance and drug product (the “Transferred Assets”), on an “as is” and “where is” basis. CT-95 patents are currently being prosecuted and/or maintained in the United States, Europe, Canada, Australia, Taiwan and Japan. The Company also assumed certain liabilities relating to the Transferred Assets. In consideration of the purchase of the Transferred Assets, the Company made a one-time payment to Link of $3.75 million and is not obligated to make any other payments. This transaction qualified as an asset purchase as prescribed by ASC 805-50 and the assets purchased were determined to have no alternative future use under the accounting definition, and therefore, the Company expensed the one-time payment as a component of research and development expense in the consolidated statements of operations during the year ended December 31, 2024.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Collaboration and Licensing Agreement with BioAtla</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23, 2024, the Company entered into a license agreement (the “BioAtla License Agreement”) with BioAtla, Inc. ("BioAtla"), pursuant to which the Company obtained an exclusive, worldwide license to develop, manufacture and commercialize two licensed antibodies (the “BioAtla Assets”), including BA3362 (renamed by the Company as CT-202), BioAtla’s Nectin-4 x CD3 T cell engaging bispecific antibody.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partial consideration for the exclusive license under the BioAtla License Agreement, the Company made an upfront payment of $11.0 million for the IPR&amp;D asset, which was determined to have no alternative future use under the accounting definition. Therefore, the upfront payment was expensed as a component of research and development expense in the consolidated statements of operations during the year ended December 31, 2024. Under the BioAtla License Agreement, the Company was obligated to pay up to $122.5 million in additional milestone payments based upon the achievement of specified preclinical, clinical, development and commercial milestones, as well as tiered mid-single digit to low double-digit royalties on future net sales for products containing the BioAtla Assets, subject to standard reductions. As discussed below, BioAtla’s eligibility to receive these milestone payments and royalties was terminated in connection with the BioAtla License Agreement Amendment (as defined below). In October 2025, the Company achieved a $2.0 million development milestone under the BioAtla License Agreement, which was expensed as a component of research and development expense in the consolidated statements of operations for the year ended December 31, 2025.</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May 14, 2026 (the “BioAtla License Amendment Date”), the Company entered into a First Amendment (the “BioAtla License Agreement Amendment”) to the BioAtla License Agreement. Pursuant to the BioAtla License Agreement Amendment, among other things, the Company agreed to pay BioAtla $4.5 million within five business days of the BioAtla License Amendment Date and an additional $2.0 million by August 1, 2026. Both payments have since been made. The total $6.5 million payment amount was expensed as a component of research and development expense in the consolidated statements of operations during the quarter ended June 30, 2026. The BioAtla License Agreement Amendment also modified the Company's rights under the BioAtla License Agreement such that the exclusive licenses granted with respect to the BioAtla Assets are irrevocable, royalty-free, fully paid-up and non-terminable. The BioAtla License Agreement Amendment also eliminated (i) the Company's research and development and certain reporting obligations regarding the BioAtla Assets, and (ii) BioAtla’s rights to terminate the BioAtla License Agreement. As a result of the BioAtla License Amendment, BioAtla is not entitled to receive future milestone payments or royalties under the BioAtla License Agreement with respect to the BioAtla Assets.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CTIM-76 and CT-202 Lonza License Agreements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obtained active pharmaceutical ingredients and drug product for its product candidates from several third-party contract manufacturers, including Lonza Sales AG (“Lonza Sales”) and Lonza AG (“Lonza AG”, and collectively with Lonza Sales, “Lonza”).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7, 2022, the Company entered into a license agreement (the “Lonza CTIM-76 License Agreement”) with Lonza Sales in connection with Lonza’s development and manufacturing services with respect to CTIM-76. Under the terms of the Lonza CTIM-76 License Agreement, to the extent Lonza’s technology is incorporated into CTIM-76, Lonza granted the Company a non-exclusive license to use certain proprietary Lonza intellectual property and systems for the Company to develop, manufacture and commercially exploit CTIM-76.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3, 2025, the Company entered into a license agreement (the “Lonza CT-202 License Agreement”) with Lonza Sales in connection with Lonza’s development and manufacturing services with respect to CT-202. Under the terms of the Lonza CT-202 License Agreement, to the extent Lonza’s technology is incorporated into CT-202, Lonza granted the Company a non-exclusive license to use certain proprietary Lonza intellectual property and systems for the Company to develop, manufacture and commercially exploit CT-202.</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shall pay certain royalties and annual payments to Lonza under the applicable license agreement with respect to the manufacturing and sale of CTIM-76 or CT-202, as applicable, which amounts shall be determined by the party manufacturing CTIM-76 or CT-202, as applicable, and ranges from a potential annual payment of up to less than $500,000 per asset and a royalty per asset on net sales from 0% up to a low single digit percentage. Under each respective license agreement, the royalty payments and annual payments would be reduced per asset in certain circumstances, including should the valid claims for any such patent rights not exist in the country in which CTIM-76 or CT-202, as applicable, is being sold, and the royalty payments per asset would expire upon the later of the expiration of the licensed patents in the country in which CTIM-76 or CT-202, as applicable, is being sold, the expiration of the licensed patents in the country in which CTIM-76 or CT-202, as applicable, is being manufactured, and 10 years from the first commercial sales of CTIM-76 or CT-202, as applicable, in such country of sale.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Lonza CTIM-76 License Agreement and the Lonza CT-202 License Agreement each continue until terminated. The Company or Lonza may terminate either the Lonza CTIM-76 License Agreement or the Lonza CT-202 License Agreement, as applicable, for uncured material breaches or insolvency of the other party. The Company can unilaterally terminate the Lonza CTIM-76 License Agreement or the Lonza CT-202 License Agreement with prior written notice to Lonza, and Lonza can also unilaterally terminate the Lonza CTIM-76 License Agreement or the Lonza CT-202 License Agreement upon certain actions by the Company.</w:t>
      </w:r>
    </w:p>
    <w:p>
      <w:pPr>
        <w:pStyle w:val="TextBody"/>
        <w:bidi w:val="0"/>
        <w:spacing w:before="0" w:after="0"/>
        <w:jc w:val="left"/>
        <w:rPr/>
      </w:pPr>
      <w:r>
        <w:rPr/>
      </w:r>
    </w:p>
    <w:p>
      <w:pPr>
        <w:pStyle w:val="TextBody"/>
        <w:bidi w:val="0"/>
        <w:spacing w:lineRule="auto" w:line="268" w:before="0" w:after="120"/>
        <w:jc w:val="left"/>
        <w:rPr>
          <w:rFonts w:ascii="Times New Roman;serif" w:hAnsi="Times New Roman;serif"/>
          <w:b/>
          <w:i/>
          <w:color w:val="000000"/>
          <w:sz w:val="20"/>
        </w:rPr>
      </w:pPr>
      <w:r>
        <w:rPr>
          <w:rFonts w:ascii="Times New Roman;serif" w:hAnsi="Times New Roman;serif"/>
          <w:b/>
          <w:i/>
          <w:color w:val="000000"/>
          <w:sz w:val="20"/>
        </w:rPr>
        <w:t>Research and Development Arrangements</w:t>
      </w:r>
    </w:p>
    <w:p>
      <w:pPr>
        <w:pStyle w:val="TextBody"/>
        <w:bidi w:val="0"/>
        <w:spacing w:lineRule="auto" w:line="276" w:before="0" w:after="0"/>
        <w:jc w:val="left"/>
        <w:rPr/>
      </w:pPr>
      <w:r>
        <w:rPr>
          <w:rFonts w:ascii="Times New Roman;serif" w:hAnsi="Times New Roman;serif"/>
          <w:b w:val="false"/>
          <w:color w:val="000000"/>
          <w:sz w:val="20"/>
        </w:rPr>
        <w:t>In the course of normal business operations, the Company enters into agreements with investigative sites and contract research organizations to assist in the performance of research and development activities and contract manufacturers to assist with chemistry, manufacturing, and controls-related expenses. Expenditures to contract research organizations represent a significant cost in clinical development for the Company. The Company could also enter into additional collaborative research, contract research, manufacturing, and supplier agreements in the future, which may</w:t>
      </w:r>
      <w:r>
        <w:rPr>
          <w:color w:val="000000"/>
        </w:rPr>
        <w:t xml:space="preserve"> </w:t>
      </w:r>
      <w:r>
        <w:rPr>
          <w:rFonts w:ascii="Times New Roman;serif" w:hAnsi="Times New Roman;serif"/>
          <w:b w:val="false"/>
          <w:color w:val="000000"/>
          <w:sz w:val="20"/>
        </w:rPr>
        <w:t>require upfront payments and long-term commitments of cash.</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Liabilities for loss contingencies arising from claims, assessments, litigation, fines, penalties, and other sources are recorded when it is probable that a liability has been incurred and the amount can be reasonably estimated.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On February 4, 2026, the Vladimir Gusinsky Revocable Trust filed a stockholder class action complaint (the “Action”) against the Company and its directors in the Court of Chancery of the State of Delaware (the “Court”) asserting that (i) Article V, Section 2 of the Company's Amended and Restated Certificate of Incorporation, as amended (the “Certificate of Incorporation”), provides for a full term of three years for directors in violation of Section 211(b) of the General Corporation Law of the State of Delaware (the “DGCL”) and (ii) Article VI, Section 1 of the Certificate of Incorporation limits removal of directors only for cause in violation of Section 141(k) of the DGCL.</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24, 2026, a stipulation and proposed consent judgment (the “Stipulated Judgment”) was filed with the Court regarding the Action, and on March 11, 2026, the Court approved the Stipulated Judgment, pursuant to which Article V, Section 2 and Article VI, Section 1 of the Certificate of Incorporation were determined to be invalid and unenforceable. On March 11, 2026, the Company filed a Certificate of Correction with the Delaware Secretary of State reflecting such provisions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as invalid, unenforceable and no longer part of the Certificate of Incorporation. On March 11, 2026, pursuant to the Stipulated Judgment, the Action was dismissed with prejudice with respect to the plaintiff; however, the Court retained jurisdiction to address any mootness fee application.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April 30, 2026, the Company entered into a letter agreement (the “Letter Agreement”), pursuant to which a third party service provider (the “Provider”) of the Company agreed to pay the Mootness Fee (as defined below) in full on behalf of the Company.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April 30, 2026, the Court granted a Stipulation and Proposed Order Closing the Case (the “Stipulated Order”). The Stipulated Order requires the payment of $0.9 million in fees and expenses to plaintiff’s counsel in the Action (the “Mootness Fee”). The Court was not asked to review, and did not pass judgment on, entitlement to or the amount of the Mootness Fee being paid in connection with the Stipulated Order.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May 1, 2026, the Provider paid the Mootness Fee in full pursuant to the Letter Agreement. The Action has since been closed.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(9) Subsequent Event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August 5, 2026, the Company announced a portfolio prioritization and capital allocation strategy, including discontinuing the development of CT-95 and focusing its efforts on the development of CTIM-76 and CT-202.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before="0" w:after="1"/>
        <w:jc w:val="center"/>
        <w:rPr/>
      </w:pPr>
      <w:r>
        <w:rPr/>
      </w:r>
    </w:p>
    <w:p>
      <w:pPr>
        <w:pStyle w:val="TextBody"/>
        <w:bidi w:val="0"/>
        <w:spacing w:lineRule="auto" w:line="276" w:before="1" w:after="1"/>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You should read the following discussion of our financial condition and results of operations together with our unaudited condensed consolidated financial statements and the notes thereto included elsewhere in this Quarterly Report on Form 10-Q and other financial information included in this report and our audited consolidated financial statements and related notes thereto and management’s discussion and analysis of financial condition and results of operations included in our Annual Report on Form 10-K for the year ended December 31, 2025, as filed with the SEC on March 23, 2026. In addition to historical information, the following discussion contains a number of forward-looking statements, all of which are based on our current expectations and could be affected by the uncertainties and risks referred to under Part I, Item 1A. “Risk Factors” of our Annual Report on Form 10-K and Part II, Item 1A. "Risk Factors" in this Quarterly Report on Form 10-Q. Please also see the section entitled “Note Regarding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76" w:before="120" w:after="283"/>
        <w:ind w:left="0" w:right="0" w:firstLine="490"/>
        <w:jc w:val="left"/>
        <w:rPr/>
      </w:pPr>
      <w:r>
        <w:rPr>
          <w:rFonts w:ascii="Times New Roman;serif" w:hAnsi="Times New Roman;serif"/>
          <w:b w:val="false"/>
          <w:color w:val="000000"/>
          <w:sz w:val="20"/>
        </w:rPr>
        <w:t xml:space="preserve">We are a clinical-stage biopharmaceutical company advancing TCE bispecific antibodies for solid tumors. Our goal is to build an innovative portfolio of TCE bispecific therapeutics, including CTIM-76, a CLDN6 x CD3 TCE, and CT-202, a Nectin-4 x CD3 </w:t>
      </w:r>
      <w:r>
        <w:rPr>
          <w:rFonts w:ascii="Times New Roman;serif" w:hAnsi="Times New Roman;serif"/>
          <w:b w:val="false"/>
          <w:color w:val="000000"/>
          <w:sz w:val="24"/>
        </w:rPr>
        <w:t>TCE.</w:t>
      </w:r>
    </w:p>
    <w:p>
      <w:pPr>
        <w:pStyle w:val="TextBody"/>
        <w:bidi w:val="0"/>
        <w:spacing w:before="1" w:after="1"/>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had also been developing CT-95, a Mesothelin (“MSLN”) x CD3 TCE. However, on August 5, 2026, we announced a portfolio prioritization and capital allocation strategy, pursuant to which we discontinued internal development of CT-95 and will focus our development efforts on CTIM-76 and CT-202.</w:t>
      </w:r>
    </w:p>
    <w:p>
      <w:pPr>
        <w:pStyle w:val="TextBody"/>
        <w:bidi w:val="0"/>
        <w:spacing w:before="0" w:after="0"/>
        <w:jc w:val="left"/>
        <w:rPr/>
      </w:pPr>
      <w:r>
        <w:rPr/>
      </w:r>
    </w:p>
    <w:p>
      <w:pPr>
        <w:pStyle w:val="TextBody"/>
        <w:bidi w:val="0"/>
        <w:spacing w:lineRule="auto" w:line="276" w:before="1"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CTIM-76 is a CLDN6 x CD3 TCE that is intended to redirect T-cell-mediated lysis toward malignant cells expressing CLDN6. CLDN6 is a tight junction membrane protein target expressed in multiple solid tumors and absent from or expressed at low levels in healthy adult tissues. On May 2, 2024, we announced the FDA cleared our IND application to support the initiation of a Phase 1 dose escalation and expansion trial of CTIM-76 in patients with CLDN6-positive gynecologic and testicular cancers. We dosed the first patient in our CTIM-76 Phase 1 clinical trial in January 2025. On April 2, 2026, the FDA granted Fast Track designation to CTIM-76 for the treatment of platinum-resistant ovarian cancer in patients that have received all standard of care therapies. We presented interim Phase 1a clinical data for our CTIM-76 trial in June 2026.</w:t>
      </w:r>
    </w:p>
    <w:p>
      <w:pPr>
        <w:pStyle w:val="TextBody"/>
        <w:bidi w:val="0"/>
        <w:spacing w:before="1" w:after="1"/>
        <w:jc w:val="left"/>
        <w:rPr/>
      </w:pPr>
      <w:r>
        <w:rPr/>
      </w:r>
    </w:p>
    <w:p>
      <w:pPr>
        <w:pStyle w:val="TextBody"/>
        <w:bidi w:val="0"/>
        <w:spacing w:lineRule="auto" w:line="276" w:before="1"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CTIM-76 is advancing into every-three-week (“Q3W”) dosing in patients with platinum-resistant ovarian cancer (“PROC”). In the second half of 2026, we plan to evaluate CTIM-76 using a Q3W dosing regimen in less heavily pretreated PROC patients to further characterize its clinical profile in a larger and more commercially relevant patient population. We expect to share initial Phase 1a data for our CTIM-76 Q3W trial in the second quarter of 2027. Initiation of a Phase 1b dose expansion trial for CTIM-76 is anticipated in the first quarter of 2027. </w:t>
      </w:r>
    </w:p>
    <w:p>
      <w:pPr>
        <w:pStyle w:val="TextBody"/>
        <w:bidi w:val="0"/>
        <w:spacing w:before="1" w:after="1"/>
        <w:ind w:left="0" w:right="0" w:firstLine="450"/>
        <w:jc w:val="left"/>
        <w:rPr/>
      </w:pPr>
      <w:r>
        <w:r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CT-202 is a Nectin-4 x CD3 TCE that targets Nectin-4, a cell surface protein that is highly and frequently overexpressed in a variety of solid tumors, including bladder, colorectal, lung and breast. Nectin-4 is a clinically validated target for cancer therapy using a traditional antibody-drug conjugate, but it is also associated with certain adverse events, including neuropathy and rash. CT-202 is a pH-dependent TCE that is designed to be preferentially active within the tumor microenvironment. In April 2026, we received Human Research Ethics Committee approval and Clinical Trial Notification acknowledgement by the Australian Therapeutic Goods Administration to initiate a first-in-human Phase 1 clinical trial of CT-202. The first patient in our Phase 1 clinical trial evaluating CT-202 in patients with Nectin-4-positive urothelial, colorectal, and triple-negative breast cancers is expected to be dosed in the third quarter of 2026. We also expect to share initial Phase 1a data from the CT-202 trial in the second half of 2027.</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CT-95 is an MSLN x CD3 TCE that is intended to redirect T-cell-mediated lysis toward malignant cells expressing MSLN. The first patient in our CT-95 Phase 1 trial was dosed in April 2025. We expect to wind down the CT-95 Phase 1 trial promptly in connection with our decision to discontinue internal development of CT-95.</w:t>
      </w:r>
    </w:p>
    <w:p>
      <w:pPr>
        <w:pStyle w:val="TextBody"/>
        <w:bidi w:val="0"/>
        <w:spacing w:before="0" w:after="0"/>
        <w:ind w:left="0" w:right="0" w:firstLine="450"/>
        <w:jc w:val="left"/>
        <w:rPr/>
      </w:pPr>
      <w:r>
        <w:rPr/>
      </w:r>
    </w:p>
    <w:p>
      <w:pPr>
        <w:pStyle w:val="TextBody"/>
        <w:bidi w:val="0"/>
        <w:spacing w:lineRule="auto" w:line="276" w:before="1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were incorporated in April 2015 under the laws of the State of Delaware. Since inception, we have devoted substantially all of our resources to developing product and technology rights, conducting research and development, organizing and staffing our company, business planning and raising capital. We operate as one business segment and have incurred recurring losses, the majority of which are attributable to research and development activities, and negative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lineRule="auto" w:line="276" w:before="10" w:after="283"/>
        <w:jc w:val="left"/>
        <w:rPr>
          <w:rFonts w:ascii="Times New Roman;serif" w:hAnsi="Times New Roman;serif"/>
          <w:b w:val="false"/>
          <w:color w:val="000000"/>
          <w:sz w:val="20"/>
        </w:rPr>
      </w:pPr>
      <w:r>
        <w:rPr>
          <w:rFonts w:ascii="Times New Roman;serif" w:hAnsi="Times New Roman;serif"/>
          <w:b w:val="false"/>
          <w:color w:val="000000"/>
          <w:sz w:val="20"/>
        </w:rPr>
        <w:t>from operations. We have funded our operations primarily through the sale of common stock, warrants, convertible debt, and convertible preferred stock. Our net loss was $23.2 million for the six months ended June 30, 2026. As of June 30, 2026, we had an accumulated deficit of $154.1 million.</w:t>
      </w:r>
    </w:p>
    <w:p>
      <w:pPr>
        <w:pStyle w:val="TextBody"/>
        <w:bidi w:val="0"/>
        <w:spacing w:before="0" w:after="0"/>
        <w:jc w:val="left"/>
        <w:rPr/>
      </w:pPr>
      <w:r>
        <w:rPr/>
      </w:r>
    </w:p>
    <w:p>
      <w:pPr>
        <w:pStyle w:val="TextBody"/>
        <w:bidi w:val="0"/>
        <w:spacing w:lineRule="auto" w:line="276" w:before="1" w:after="1"/>
        <w:jc w:val="left"/>
        <w:rPr>
          <w:rFonts w:ascii="Times New Roman;serif" w:hAnsi="Times New Roman;serif"/>
          <w:b/>
          <w:i/>
          <w:color w:val="000000"/>
          <w:sz w:val="20"/>
        </w:rPr>
      </w:pPr>
      <w:r>
        <w:rPr>
          <w:rFonts w:ascii="Times New Roman;serif" w:hAnsi="Times New Roman;serif"/>
          <w:b/>
          <w:i/>
          <w:color w:val="000000"/>
          <w:sz w:val="20"/>
        </w:rPr>
        <w:t>Collaboration and License Agreements</w:t>
      </w:r>
    </w:p>
    <w:p>
      <w:pPr>
        <w:pStyle w:val="TextBody"/>
        <w:bidi w:val="0"/>
        <w:spacing w:before="0" w:after="0"/>
        <w:ind w:left="0" w:right="0" w:firstLine="450"/>
        <w:jc w:val="left"/>
        <w:rPr/>
      </w:pPr>
      <w:r>
        <w:rPr/>
      </w:r>
    </w:p>
    <w:p>
      <w:pPr>
        <w:pStyle w:val="TextBody"/>
        <w:bidi w:val="0"/>
        <w:spacing w:lineRule="auto" w:line="276"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CTIM-76: Integral Molecular Collaboration and Licensing Agreement</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April 2021, we entered into a collaboration and licensing agreement with Integral Molecular, Inc. (“Integral”) for the development of a CLDN6 bispecific antibodies for cancer therapy. On February 29, 2024, we further amended (the "Integral Second Amendment") the collaboration and licensing agreement with Integral (as amended, the “Integral License Agreement”) to reflect updated financial terms. In the course of our further due diligence review of CTIM-76, we determined that certain of the licensed rights under the Integral License Agreement may incorporate intellectual property rights currently held by a third party. Specifically, at the time of the Integral Second Amendment, we were aware of issued patents in the United States and certain foreign jurisdictions expiring in January 2034, and then in 2025 became aware of a patent that issued in the United States expiring in March 2042, in each instance that potentially covers certain parts of the intellectual property included in CTIM-76.While we believe we will have reasonable defenses against any potential claim of infringement, we may not be successful in such efforts, and we also may not be able to obtain a license to such patents on commercially reasonable terms, or at all.</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part of the Integral Second Amendment, Integral’s right to receive certain future payments was reduced as follows: aggregate development and regulatory milestone payments were reduced from $55 million to $15 million, aggregate sales milestone payments were reduced from $130 million to $12.5 million, and a tiered royalty of 8-12% that commenced at first commercial sale was reduced to a flat royalty rate of 6% on net sales beginning no sooner than February 1, 2034. The Integral Second Amendment also narrowed the license grant from Integral to us to only cover CTIM-76, removed any further obligation of us to reimburse Integral for any independently obtained research funding Integral applied against CTIM-76 research, and included mutual releases by the parties.</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reduced development and regulatory milestones now reflect a payment due at each of: (i) first patient’s first screening visit in a Phase 1b/2 or Phase 2 clinical trial for CTIM-76; (ii) first patient’s first screening visit in a Phase 3 clinical trial for CTIM-76; (iii) United States marketing approval for CTIM-76; (iv) European Union marketing approval for CTIM-76; (v) United Kingdom marketing approval for CTIM-76; (vi) and Japan marketing approval for CTIM-76. The amended commercial milestones now also reflect a payment due upon the achievement of annual net sales of $500 million and annual net sales of $1 billion.</w:t>
      </w:r>
    </w:p>
    <w:p>
      <w:pPr>
        <w:pStyle w:val="TextBody"/>
        <w:bidi w:val="0"/>
        <w:spacing w:before="0" w:after="0"/>
        <w:jc w:val="left"/>
        <w:rPr/>
      </w:pPr>
      <w:r>
        <w:rPr/>
      </w:r>
    </w:p>
    <w:p>
      <w:pPr>
        <w:pStyle w:val="TextBody"/>
        <w:bidi w:val="0"/>
        <w:spacing w:lineRule="auto" w:line="276"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CT-95: Link Purchase Agreement</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July 9, 2024, we entered into an asset purchase agreement (the “Asset Purchase Agreement”) pursuant to which we acquired CT-95 (formerly known as LNK-101), from Link (assignment for the benefit of creditors), LLC (“Link”), which succeeded to the assets of Link Immunotherapeutics Inc. The FDA previously cleared the IND application for CT-95. </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Asset Purchase Agreement, we purchased all of the assets of Link associated with CT-95, including patent rights, know-how, regulatory filings, and inventory of drug substance and drug product (the “Transferred Assets”), on an “as is” and “where is” basis. CT-95 patents are currently being prosecuted and/or maintained in the United States, Europe, Canada, Australia, Japan and Taiwan. We also assumed certain liabilities relating to the Transferred Assets. In consideration of the Transferred Assets, we made a one-time payment to Link of $3.75 million.</w:t>
      </w:r>
    </w:p>
    <w:p>
      <w:pPr>
        <w:pStyle w:val="TextBody"/>
        <w:bidi w:val="0"/>
        <w:spacing w:before="0" w:after="0"/>
        <w:jc w:val="left"/>
        <w:rPr/>
      </w:pPr>
      <w:r>
        <w:rPr/>
      </w:r>
    </w:p>
    <w:p>
      <w:pPr>
        <w:pStyle w:val="TextBody"/>
        <w:bidi w:val="0"/>
        <w:spacing w:lineRule="auto" w:line="276"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CT-202: BioAtla License Agreement</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September 23, 2024, we entered into a license agreement (the “BioAtla License Agreement”) with BioAtla, Inc. ("BioAtla"), pursuant to which we obtained an exclusive, worldwide license to develop, manufacture and commercialize two licensed antibodies (the “BioAtla Assets”), including BA3362 (renamed by us as CT-202), BioAtla’s Nectin-4 x CD3 TCE.</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partial consideration for the exclusive license under the BioAtla License Agreement, we made an upfront payment of $11.0 million, and BioAtla was eligible to receive up to $122.5 million in additional milestone payments based upon the achievement of specified preclinical, clinical, development and commercial milestones, as well as tiered mid-single-digit to 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double-digit royalties on future net sales for products containing the BioAtla Assets, subject to standard reductions. As discussed below, BioAtla’s eligibility to receive these milestone payments and royalties was terminated in connection with the BioAtla License Agreement Amendment (as defined below). In October 2025, we achieved a $2.0 million development milestone under the BioAtla License Agreement, which we paid to BioAtla during the year ended December 31, 2025.</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14, 2026 (the “BioAtla License Amendment Date”), we entered into a First Amendment (the “BioAtla License Agreement Amendment”) to the BioAtla License Agreement. Pursuant to the BioAtla License Agreement Amendment, among other things, we agreed to pay BioAtla $4.5 million within five business days of the BioAtla License Amendment Date and an additional $2.0 million by August 1, 2026. Both payments have since been made. The BioAtla License Agreement Amendment also modified our rights under the BioAtla License Agreement such that the exclusive licenses granted with respect to the BioAtla Assets are irrevocable, royalty-free, fully paid-up and non-terminable. The BioAtla License Agreement Amendment also eliminated (i) our research and development and certain reporting obligations regarding the BioAtla Assets, and (ii) BioAtla’s rights to terminate the BioAtla License Agreement. As a result of the BioAtla License Amendment, BioAtla is not entitled to receive future milestone payments or royalties under the BioAtla License Agreement with respect to the BioAtla Assets.</w:t>
      </w:r>
    </w:p>
    <w:p>
      <w:pPr>
        <w:pStyle w:val="TextBody"/>
        <w:bidi w:val="0"/>
        <w:spacing w:before="0" w:after="0"/>
        <w:ind w:left="0" w:right="0" w:firstLine="720"/>
        <w:jc w:val="left"/>
        <w:rPr/>
      </w:pPr>
      <w:r>
        <w:rPr/>
      </w:r>
    </w:p>
    <w:p>
      <w:pPr>
        <w:pStyle w:val="TextBody"/>
        <w:bidi w:val="0"/>
        <w:spacing w:lineRule="auto" w:line="276" w:before="1" w:after="1"/>
        <w:jc w:val="left"/>
        <w:rPr>
          <w:rFonts w:ascii="Times New Roman;serif" w:hAnsi="Times New Roman;serif"/>
          <w:b/>
          <w:i/>
          <w:color w:val="000000"/>
          <w:sz w:val="20"/>
        </w:rPr>
      </w:pPr>
      <w:r>
        <w:rPr>
          <w:rFonts w:ascii="Times New Roman;serif" w:hAnsi="Times New Roman;serif"/>
          <w:b/>
          <w:i/>
          <w:color w:val="000000"/>
          <w:sz w:val="20"/>
        </w:rPr>
        <w:t xml:space="preserve">Financial Overview </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Currently, our primary use of cash is to fund operating expenses, which consist primarily of research and development expenditures, as well as general and administrative expenditures. Our ability to generate product revenue sufficient to achieve profitability will depend heavily on the successful development and eventual commercialization of one or more of our current or any future product candidates. We expect to continue to incur significant expenses and operating losses for the foreseeable future as we advance our current and any future product candidates through all stages of development and clinical trials and, ultimately, seek regulatory approval. In addition, if we obtain regulatory approval for any product candidate, we expect to incur significant commercialization expenses related to product manufacturing, marketing, sales and distribution. Furthermore, we have incurred and continue to incur significant costs associated with operating as a public company, including legal, accounting, investor relations and other expenses. Our net losses may fluctuate significantly from quarter-to-quarter and year-to-year, depending on the timing of our clinical trials and our expenses on other research and development activities. </w:t>
      </w:r>
    </w:p>
    <w:p>
      <w:pPr>
        <w:pStyle w:val="TextBody"/>
        <w:bidi w:val="0"/>
        <w:spacing w:before="0" w:after="0"/>
        <w:jc w:val="left"/>
        <w:rPr/>
      </w:pPr>
      <w:r>
        <w:rPr/>
      </w:r>
    </w:p>
    <w:p>
      <w:pPr>
        <w:pStyle w:val="TextBody"/>
        <w:bidi w:val="0"/>
        <w:spacing w:lineRule="auto" w:line="276" w:before="1"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and cash equivalents of $43.0 million. Based on our current operating plan and anticipated milestones, we believe that our cash and cash equivalents as of June 30, 2026 will be sufficient to fund our operations into the fourth quarter of 2027. If the Company is unable to obtain additional financing, the lack of liquidity could have a material adverse effect on the Company’s future prospects.</w:t>
      </w:r>
    </w:p>
    <w:p>
      <w:pPr>
        <w:pStyle w:val="TextBody"/>
        <w:bidi w:val="0"/>
        <w:spacing w:before="1" w:after="1"/>
        <w:jc w:val="left"/>
        <w:rPr/>
      </w:pPr>
      <w:r>
        <w:rPr/>
      </w:r>
    </w:p>
    <w:p>
      <w:pPr>
        <w:pStyle w:val="TextBody"/>
        <w:bidi w:val="0"/>
        <w:spacing w:lineRule="auto" w:line="276" w:before="1"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will need to raise substantial additional capital to support our continuing operations and pursue our growth strategy. Until such time as we can generate significant revenue from product sales, if ever, we plan to finance our operations through a combination of equity offerings, debt financings, collaborations, strategic transactions and/or marketing, distribution or licensing arrangements. There are no assurances that we will be successful in obtaining an adequate level of financing as and when needed to finance our operations on terms acceptable to us, or at all. Any failure to raise capital as and when needed could have a negative impact on our financial condition and on our ability to pursue our business plans and strategies. If we are unable to secure adequate additional funding, we may have to significantly delay, scale back or discontinue the development and commercialization of one or more product candidates or delay our pursuit of potential in-licenses or acquisitions. </w:t>
      </w:r>
    </w:p>
    <w:p>
      <w:pPr>
        <w:pStyle w:val="TextBody"/>
        <w:bidi w:val="0"/>
        <w:spacing w:before="1" w:after="1"/>
        <w:jc w:val="left"/>
        <w:rPr/>
      </w:pPr>
      <w:r>
        <w:rPr/>
      </w:r>
    </w:p>
    <w:p>
      <w:pPr>
        <w:pStyle w:val="TextBody"/>
        <w:bidi w:val="0"/>
        <w:spacing w:lineRule="auto" w:line="276"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At-the-Market Offering</w:t>
      </w:r>
    </w:p>
    <w:p>
      <w:pPr>
        <w:pStyle w:val="TextBody"/>
        <w:bidi w:val="0"/>
        <w:spacing w:before="1" w:after="1"/>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 2024, we entered into a Sales Agreement (the “ATM Sales Agreement”) with Leerink Partners LLC (the “Agent”). Pursuant to the terms of the ATM Sales Agreement, we may offer and sell shares of common stock having an aggregate offering amount of up to $75.0 million from time to time through the Agent (the “ATM Shares”). Sales of the ATM Shares may be made in sales deemed to be an “at-the-market offering” as defined in Rule 415 under the Securities Act of 1933, as amended (the "Securities Act"). On October 24, 2025, we entered into Amendment No. 1 to Sales Agreement (the “ATM Sales Agreement Amendment”, and together with the ATM Sales Agreement, the “Amended ATM Sales Agreement”) to provide for an increase in the aggregate offering amount under the Amended ATM Sales Agreement, such that following the filing of a new prospectus supplement with respect to the ATM Shares on October 24, 2025, we may offer and sell ATM Shares having an aggregate offering price of up to $75.0 million, exclusive of ATM Shares previously sold in December 2024. The Agent will be entitled to a commission from us of up to 3.0% of the gross proceeds from the sale of ATM Shares sold under the Amended ATM Sales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before="1" w:after="1"/>
        <w:jc w:val="left"/>
        <w:rPr/>
      </w:pPr>
      <w:r>
        <w:rPr/>
      </w:r>
    </w:p>
    <w:p>
      <w:pPr>
        <w:pStyle w:val="TextBody"/>
        <w:bidi w:val="0"/>
        <w:spacing w:lineRule="auto" w:line="276"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Private Placement</w:t>
      </w:r>
    </w:p>
    <w:p>
      <w:pPr>
        <w:pStyle w:val="TextBody"/>
        <w:bidi w:val="0"/>
        <w:spacing w:before="1" w:after="1"/>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May 1, 2024, we entered into a securities purchase agreement (the “Purchase Agreement”) for the private placement (the “Private Placement”) of (i) 59,032,259 shares (the “PIPE Shares”) of our common stock at a purchase price of $1.55 per PIPE Share, and (ii) pre-funded warrants (the “Pre-Funded Warrants”) to purchase 5,482,741 shares of common stock (the “Warrant Shares”) at a purchase price of $1.549 per Pre-Funded Warrant. The Pre-Funded Warrants have an exercise price of $0.001 per share of common stock, are immediately exercisable and remain exercisable until exercised in full. During the year ended December 31, 2025, 2,178,200 Pre-Funded Warrants were exercised on a cashless basis, resulting in the issuance of 2,174,983 shares of common stock. As of June 30, 2026, 3,304,541 Pre-Funded Warrants remained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
        <w:jc w:val="left"/>
        <w:rPr>
          <w:rFonts w:ascii="Times New Roman;serif" w:hAnsi="Times New Roman;serif"/>
          <w:b/>
          <w:color w:val="000000"/>
          <w:sz w:val="20"/>
        </w:rPr>
      </w:pPr>
      <w:r>
        <w:rPr>
          <w:rFonts w:ascii="Times New Roman;serif" w:hAnsi="Times New Roman;serif"/>
          <w:b/>
          <w:color w:val="000000"/>
          <w:sz w:val="20"/>
        </w:rPr>
        <w:t xml:space="preserve">Components of Our Results of Operations </w:t>
      </w:r>
    </w:p>
    <w:p>
      <w:pPr>
        <w:pStyle w:val="TextBody"/>
        <w:bidi w:val="0"/>
        <w:spacing w:lineRule="auto" w:line="276" w:before="360" w:after="283"/>
        <w:jc w:val="left"/>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lineRule="auto" w:line="276"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Expenses </w:t>
      </w:r>
    </w:p>
    <w:p>
      <w:pPr>
        <w:pStyle w:val="TextBody"/>
        <w:bidi w:val="0"/>
        <w:spacing w:lineRule="auto" w:line="276"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have consisted primarily of costs incurred in connection with the discovery and development of our product candidates. We expense research and development costs as incurred,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expenses incurred to conduct the necessary discovery-stage laboratory work, preclinical studies and clinical trials required to obtain regulatory approval;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personnel expenses, including salaries, benefits and share-based compensation expense for our employees and consultants engaged in research and development functions;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costs of funding research performed by third parties, including pursuant to agreements with contract research organizations (“CROs”) that conduct our clinical trials, as well as investigative sites, consultants and CROs that conduct our preclinical and clinical studies;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expenses incurred under agreements with contract manufacturing organizations, including manufacturing scale-up expenses, milestone-based payments, and the cost of acquiring and manufacturing preclinical study and clinical trial materials;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fees paid to consultants who assist with research and development activities;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license payments and acquisitions of acquired in-process research and development assets that have no alternative future use;</w:t>
      </w:r>
    </w:p>
    <w:p>
      <w:pPr>
        <w:pStyle w:val="TextBody"/>
        <w:bidi w:val="0"/>
        <w:spacing w:lineRule="auto" w:line="276" w:before="120" w:after="1"/>
        <w:ind w:left="0" w:right="0" w:hanging="360"/>
        <w:jc w:val="left"/>
        <w:rPr/>
      </w:pPr>
      <w:r>
        <w:rPr>
          <w:color w:val="000000"/>
        </w:rPr>
        <w:t>•</w:t>
      </w:r>
      <w:r>
        <w:rPr>
          <w:rFonts w:ascii="Times New Roman;serif" w:hAnsi="Times New Roman;serif"/>
          <w:b w:val="false"/>
          <w:color w:val="000000"/>
          <w:sz w:val="20"/>
        </w:rPr>
        <w:t xml:space="preserve">expenses related to regulatory activities, including filing fees paid to regulatory agencies; and </w:t>
      </w:r>
    </w:p>
    <w:p>
      <w:pPr>
        <w:pStyle w:val="TextBody"/>
        <w:bidi w:val="0"/>
        <w:spacing w:lineRule="auto" w:line="276" w:before="120" w:after="1"/>
        <w:ind w:left="0" w:right="0" w:hanging="360"/>
        <w:jc w:val="left"/>
        <w:rPr/>
      </w:pPr>
      <w:r>
        <w:rPr>
          <w:color w:val="000000"/>
        </w:rPr>
        <w:t>•</w:t>
      </w:r>
      <w:r>
        <w:rPr>
          <w:rFonts w:ascii="Times New Roman;serif" w:hAnsi="Times New Roman;serif"/>
          <w:b w:val="false"/>
          <w:color w:val="000000"/>
          <w:sz w:val="20"/>
        </w:rPr>
        <w:t xml:space="preserve">allocated expenses for facility costs, including rent, utilities and maintenance. </w:t>
      </w:r>
    </w:p>
    <w:p>
      <w:pPr>
        <w:pStyle w:val="TextBody"/>
        <w:bidi w:val="0"/>
        <w:spacing w:lineRule="auto" w:line="276"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track outsourced development costs and other external research and development costs to specific product candidates on a program-by-program basis. However, we do not track our internal research and development expenses on a program-by-program basis as they primarily relate to compensation, early research and other costs which are deployed across multiple projects under development. </w:t>
      </w:r>
    </w:p>
    <w:p>
      <w:pPr>
        <w:pStyle w:val="TextBody"/>
        <w:bidi w:val="0"/>
        <w:spacing w:lineRule="auto" w:line="276"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share-based compensation, conduct our clinical trials, including later-stage clinical trials, for current and any future product candidates and prepare regulatory filings for our current and any future product candidates. </w:t>
      </w:r>
    </w:p>
    <w:p>
      <w:pPr>
        <w:pStyle w:val="TextBody"/>
        <w:bidi w:val="0"/>
        <w:spacing w:lineRule="auto" w:line="276" w:before="27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have consisted primarily of personnel expenses, including salaries, benefits and share-based compensation expense, for employees and consultants in executive, finance and accounting, legal, operations support, information technology and business development functions. General and administrative expense also includes corporate facility costs not otherwise included in research and development expense, including rent, utilities and insurance, as well as legal fees related to intellectual property and corporate matters and fees for accounting and consulting services. </w:t>
      </w:r>
    </w:p>
    <w:p>
      <w:pPr>
        <w:pStyle w:val="TextBody"/>
        <w:bidi w:val="0"/>
        <w:spacing w:lineRule="auto" w:line="276"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our general and administrative expenses will increase in the future to support our continued research and development activities, potential commercialization efforts and increased costs of operating as a public company. These increases will likely include increased costs related to the hiring of additional personnel and fees to outside consultants, legal support and accountants, among other expenses. Additionally, we will continue to incur significant costs associated with being a public company, including expenses related to services associated with maintaining compliance with the requirements of Nasdaq and the SEC, insurance and investor relations costs. If any of our current or future product candidates obtain U.S. regulatory approval, we expect that we would incur significantly increased expenses associated with building a sales and marketing team. </w:t>
      </w:r>
    </w:p>
    <w:p>
      <w:pPr>
        <w:pStyle w:val="TextBody"/>
        <w:bidi w:val="0"/>
        <w:spacing w:lineRule="auto" w:line="276" w:before="360" w:after="283"/>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76"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Interest income consists of interest earned on our cash and cash equivalents.</w:t>
      </w:r>
    </w:p>
    <w:p>
      <w:pPr>
        <w:pStyle w:val="TextBody"/>
        <w:bidi w:val="0"/>
        <w:spacing w:before="1" w:after="1"/>
        <w:jc w:val="left"/>
        <w:rPr/>
      </w:pPr>
      <w:r>
        <w:rPr/>
      </w:r>
    </w:p>
    <w:p>
      <w:pPr>
        <w:pStyle w:val="TextBody"/>
        <w:bidi w:val="0"/>
        <w:spacing w:before="1" w:after="1"/>
        <w:jc w:val="left"/>
        <w:rPr/>
      </w:pPr>
      <w:r>
        <w:rPr/>
      </w:r>
    </w:p>
    <w:p>
      <w:pPr>
        <w:pStyle w:val="TextBody"/>
        <w:bidi w:val="0"/>
        <w:spacing w:lineRule="auto" w:line="276" w:before="1" w:after="1"/>
        <w:jc w:val="left"/>
        <w:rPr>
          <w:rFonts w:ascii="Times New Roman;serif" w:hAnsi="Times New Roman;serif"/>
          <w:b w:val="false"/>
          <w:i/>
          <w:color w:val="000000"/>
          <w:sz w:val="20"/>
        </w:rPr>
      </w:pPr>
      <w:r>
        <w:rPr>
          <w:rFonts w:ascii="Times New Roman;serif" w:hAnsi="Times New Roman;serif"/>
          <w:b w:val="false"/>
          <w:i/>
          <w:color w:val="000000"/>
          <w:sz w:val="20"/>
        </w:rPr>
        <w:t>Other Income (Expense)</w:t>
      </w:r>
    </w:p>
    <w:p>
      <w:pPr>
        <w:pStyle w:val="TextBody"/>
        <w:bidi w:val="0"/>
        <w:spacing w:lineRule="auto" w:line="276"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Other income (expense) is primarily due to the recognition of foreign currency gains or losses as a result of exchange rate fluctuations on transactions denominated in a currency other than our functional currency.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
        <w:jc w:val="left"/>
        <w:rPr/>
      </w:pPr>
      <w:r>
        <w:rPr/>
      </w:r>
    </w:p>
    <w:p>
      <w:pPr>
        <w:pStyle w:val="TextBody"/>
        <w:bidi w:val="0"/>
        <w:spacing w:lineRule="auto" w:line="276" w:before="1" w:after="1"/>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 xml:space="preserve">Comparison of the Three Months Ended June 30, 2026 and 2025 </w:t>
      </w:r>
    </w:p>
    <w:p>
      <w:pPr>
        <w:pStyle w:val="TextBody"/>
        <w:bidi w:val="0"/>
        <w:spacing w:lineRule="auto" w:line="276"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our results of operations for the three months ended June 30, 2026 and 2025: </w:t>
      </w:r>
    </w:p>
    <w:p>
      <w:pPr>
        <w:pStyle w:val="TextBody"/>
        <w:bidi w:val="0"/>
        <w:spacing w:before="1" w:after="1"/>
        <w:jc w:val="left"/>
        <w:rPr/>
      </w:pPr>
      <w:r>
        <w:rPr/>
      </w:r>
    </w:p>
    <w:tbl>
      <w:tblPr>
        <w:tblW w:w="8662" w:type="dxa"/>
        <w:jc w:val="left"/>
        <w:tblInd w:w="0" w:type="dxa"/>
        <w:tblLayout w:type="fixed"/>
        <w:tblCellMar>
          <w:top w:w="28" w:type="dxa"/>
          <w:left w:w="28" w:type="dxa"/>
          <w:bottom w:w="28" w:type="dxa"/>
          <w:right w:w="28" w:type="dxa"/>
        </w:tblCellMar>
      </w:tblPr>
      <w:tblGrid>
        <w:gridCol w:w="836"/>
        <w:gridCol w:w="735"/>
        <w:gridCol w:w="738"/>
        <w:gridCol w:w="211"/>
        <w:gridCol w:w="1156"/>
        <w:gridCol w:w="109"/>
        <w:gridCol w:w="109"/>
        <w:gridCol w:w="109"/>
        <w:gridCol w:w="109"/>
        <w:gridCol w:w="211"/>
        <w:gridCol w:w="1051"/>
        <w:gridCol w:w="109"/>
        <w:gridCol w:w="109"/>
        <w:gridCol w:w="109"/>
        <w:gridCol w:w="109"/>
        <w:gridCol w:w="211"/>
        <w:gridCol w:w="1051"/>
        <w:gridCol w:w="109"/>
        <w:gridCol w:w="109"/>
        <w:gridCol w:w="109"/>
        <w:gridCol w:w="109"/>
        <w:gridCol w:w="269"/>
        <w:gridCol w:w="271"/>
        <w:gridCol w:w="614"/>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12,529,567 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7,830,544 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4,699,023 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61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2,437,924 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1,927,818 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510,106 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6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(14,967,491)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(9,758,362)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(5,209,129)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418,663 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903,772 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(485,109)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6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 income </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61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(14,558,426)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(8,827,510)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(5,730,916)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 w:after="1"/>
        <w:jc w:val="left"/>
        <w:rPr/>
      </w:pPr>
      <w:r>
        <w:rPr/>
      </w:r>
    </w:p>
    <w:p>
      <w:pPr>
        <w:pStyle w:val="TextBody"/>
        <w:bidi w:val="0"/>
        <w:spacing w:lineRule="auto" w:line="276" w:before="1" w:after="1"/>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76"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increased by approximately $4.7 million for the three months ended June 30, 2026 as compared to the same period in 2025. The following table summarizes our research and development expenses for the three months ended June 30, 2026 as compared to the same period in 2025: </w:t>
      </w:r>
    </w:p>
    <w:p>
      <w:pPr>
        <w:pStyle w:val="TextBody"/>
        <w:bidi w:val="0"/>
        <w:spacing w:before="1" w:after="1"/>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tbl>
      <w:tblPr>
        <w:tblW w:w="8754" w:type="dxa"/>
        <w:jc w:val="left"/>
        <w:tblInd w:w="0" w:type="dxa"/>
        <w:tblLayout w:type="fixed"/>
        <w:tblCellMar>
          <w:top w:w="28" w:type="dxa"/>
          <w:left w:w="28" w:type="dxa"/>
          <w:bottom w:w="28" w:type="dxa"/>
          <w:right w:w="28" w:type="dxa"/>
        </w:tblCellMar>
      </w:tblPr>
      <w:tblGrid>
        <w:gridCol w:w="988"/>
        <w:gridCol w:w="866"/>
        <w:gridCol w:w="876"/>
        <w:gridCol w:w="211"/>
        <w:gridCol w:w="1081"/>
        <w:gridCol w:w="109"/>
        <w:gridCol w:w="109"/>
        <w:gridCol w:w="109"/>
        <w:gridCol w:w="109"/>
        <w:gridCol w:w="211"/>
        <w:gridCol w:w="976"/>
        <w:gridCol w:w="109"/>
        <w:gridCol w:w="109"/>
        <w:gridCol w:w="109"/>
        <w:gridCol w:w="109"/>
        <w:gridCol w:w="211"/>
        <w:gridCol w:w="976"/>
        <w:gridCol w:w="109"/>
        <w:gridCol w:w="109"/>
        <w:gridCol w:w="109"/>
        <w:gridCol w:w="109"/>
        <w:gridCol w:w="218"/>
        <w:gridCol w:w="218"/>
        <w:gridCol w:w="614"/>
      </w:tblGrid>
      <w:tr>
        <w:trPr/>
        <w:tc>
          <w:tcPr>
            <w:tcW w:w="98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CTIM-76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2,200,723 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1,445,862 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754,861 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CT-95</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1,532,574 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1,488,530 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61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CT-202</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7,531,293 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3,149,238 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4,382,055 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6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Personnel-related costs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1,184,805 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1,676,022 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(491,217)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61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research and development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80,172 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70,892 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12,529,567 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7,830,544 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4,699,023 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 w:after="1"/>
        <w:jc w:val="left"/>
        <w:rPr/>
      </w:pPr>
      <w:r>
        <w:rPr/>
      </w:r>
    </w:p>
    <w:p>
      <w:pPr>
        <w:pStyle w:val="TextBody"/>
        <w:bidi w:val="0"/>
        <w:spacing w:lineRule="auto" w:line="276" w:before="120" w:after="1"/>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CTIM-76 expenditures increased by $0.8 million primarily due to an increase of $0.7 million in clinical costs related to the CTIM-76 Phase 1 trial. CT-95 costs increased by $44,000 primarily due to an increase of $0.5 million in clinical costs, which were offset by a $0.4 million decrease in preclinical, contract manufacturing, and diagnostic development expenses. CT-202 expenses increased by $4.4 million primarily due to $6.5 million in consideration paid under the BioAtla License Agreement Amendment entered into in May 2026 and a $0.6 million increase in clinical costs mainly related to the CT-202 Phase 1 trial start up. These increases were partially offset by a decrease of $2.0 million in contract manufacturing and a $0.8 million decrease in preclinical expenses. Personnel-related costs, which include salaries, benefits and share-based compensation expense, decreased by $0.5 million, primarily due to $0.4 million of termination benefits expensed in the second quarter of 2025.</w:t>
      </w:r>
    </w:p>
    <w:p>
      <w:pPr>
        <w:pStyle w:val="TextBody"/>
        <w:bidi w:val="0"/>
        <w:spacing w:before="0" w:after="0"/>
        <w:ind w:left="0" w:right="0" w:firstLine="49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our portfolio prioritization and decision to discontinue internal development of CT-95, we expect costs associated with CT-95, including clinical trial and related development expenses, to decrease in future periods as we wind down the CT-95 Phase 1 trial.</w:t>
      </w:r>
    </w:p>
    <w:p>
      <w:pPr>
        <w:pStyle w:val="TextBody"/>
        <w:bidi w:val="0"/>
        <w:spacing w:before="0" w:after="0"/>
        <w:ind w:left="0" w:right="0" w:firstLine="720"/>
        <w:jc w:val="left"/>
        <w:rPr/>
      </w:pPr>
      <w:r>
        <w:rPr/>
      </w:r>
    </w:p>
    <w:p>
      <w:pPr>
        <w:pStyle w:val="TextBody"/>
        <w:bidi w:val="0"/>
        <w:spacing w:lineRule="auto" w:line="276" w:before="1" w:after="1"/>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before="0" w:after="0"/>
        <w:ind w:left="0" w:right="0" w:firstLine="490"/>
        <w:jc w:val="left"/>
        <w:rPr/>
      </w:pPr>
      <w:r>
        <w:rPr/>
      </w:r>
    </w:p>
    <w:p>
      <w:pPr>
        <w:pStyle w:val="TextBody"/>
        <w:bidi w:val="0"/>
        <w:spacing w:lineRule="auto" w:line="276" w:before="1" w:after="1"/>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approximately $0.5 million for the three months ended June 30, 2026 as compared to the same period in 2025. The increase was primarily driven by a $0.3 million increase in professional fees. Salaries and personnel related costs also increased by $0.2 million, mainly as a result of higher share-based compensation expense as compared to the same period in 2025.</w:t>
      </w:r>
    </w:p>
    <w:p>
      <w:pPr>
        <w:pStyle w:val="TextBody"/>
        <w:bidi w:val="0"/>
        <w:spacing w:before="0" w:after="0"/>
        <w:jc w:val="left"/>
        <w:rPr/>
      </w:pPr>
      <w:r>
        <w:rPr/>
      </w:r>
    </w:p>
    <w:p>
      <w:pPr>
        <w:pStyle w:val="TextBody"/>
        <w:bidi w:val="0"/>
        <w:spacing w:lineRule="auto" w:line="276" w:before="1" w:after="1"/>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76"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Interest income decreased by approximately $0.5 million for the three months ended June 30, 2026 as compared to the same period in 2025, primarily as a result of lower average cash and cash equivalent balances during the three months ended June 30, 2026 due to cash used to fund ongoing operations.</w:t>
      </w:r>
    </w:p>
    <w:p>
      <w:pPr>
        <w:pStyle w:val="TextBody"/>
        <w:bidi w:val="0"/>
        <w:spacing w:before="0" w:after="0"/>
        <w:jc w:val="left"/>
        <w:rPr/>
      </w:pPr>
      <w:r>
        <w:rPr/>
      </w:r>
    </w:p>
    <w:p>
      <w:pPr>
        <w:pStyle w:val="TextBody"/>
        <w:bidi w:val="0"/>
        <w:spacing w:lineRule="auto" w:line="276" w:before="1" w:after="1"/>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Income (Expense) </w:t>
      </w:r>
    </w:p>
    <w:p>
      <w:pPr>
        <w:pStyle w:val="TextBody"/>
        <w:bidi w:val="0"/>
        <w:spacing w:lineRule="auto" w:line="276"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Other expense was approximately $10,000 for the three months ended June 30, 2026, as compared to other income of approximately $27,000 for the same period in 2025. This change is primarily due to foreign currency losses during the three months ended June 30, 2026, as compared to foreign currency gains during the prior year period, in each case as a result of exchange rate fluctuations on transactions denominated in a currency other than our functional currency.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 xml:space="preserve">Comparison of the Six Months Ended June 30, 2026 and 2025 </w:t>
      </w:r>
    </w:p>
    <w:p>
      <w:pPr>
        <w:pStyle w:val="TextBody"/>
        <w:bidi w:val="0"/>
        <w:spacing w:lineRule="auto" w:line="276"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our results of operations for the six months ended June 30, 2026 and 2025: </w:t>
      </w:r>
    </w:p>
    <w:p>
      <w:pPr>
        <w:pStyle w:val="TextBody"/>
        <w:bidi w:val="0"/>
        <w:spacing w:before="1" w:after="1"/>
        <w:jc w:val="left"/>
        <w:rPr/>
      </w:pPr>
      <w:r>
        <w:rPr/>
      </w:r>
    </w:p>
    <w:tbl>
      <w:tblPr>
        <w:tblW w:w="8663" w:type="dxa"/>
        <w:jc w:val="left"/>
        <w:tblInd w:w="0" w:type="dxa"/>
        <w:tblLayout w:type="fixed"/>
        <w:tblCellMar>
          <w:top w:w="28" w:type="dxa"/>
          <w:left w:w="28" w:type="dxa"/>
          <w:bottom w:w="28" w:type="dxa"/>
          <w:right w:w="28" w:type="dxa"/>
        </w:tblCellMar>
      </w:tblPr>
      <w:tblGrid>
        <w:gridCol w:w="836"/>
        <w:gridCol w:w="735"/>
        <w:gridCol w:w="738"/>
        <w:gridCol w:w="211"/>
        <w:gridCol w:w="1156"/>
        <w:gridCol w:w="109"/>
        <w:gridCol w:w="109"/>
        <w:gridCol w:w="109"/>
        <w:gridCol w:w="109"/>
        <w:gridCol w:w="211"/>
        <w:gridCol w:w="1156"/>
        <w:gridCol w:w="109"/>
        <w:gridCol w:w="109"/>
        <w:gridCol w:w="109"/>
        <w:gridCol w:w="109"/>
        <w:gridCol w:w="211"/>
        <w:gridCol w:w="1051"/>
        <w:gridCol w:w="109"/>
        <w:gridCol w:w="109"/>
        <w:gridCol w:w="109"/>
        <w:gridCol w:w="109"/>
        <w:gridCol w:w="218"/>
        <w:gridCol w:w="218"/>
        <w:gridCol w:w="614"/>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19,544,866 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11,293,535 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8,251,331 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61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4,766,424 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3,993,970 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772,454 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(24,311,290)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(15,287,505)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(9,023,785)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938,802 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1,862,289 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(923,487)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6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133,490 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113,045 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(23,238,998)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(13,404,771)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(9,834,227)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 w:after="1"/>
        <w:jc w:val="left"/>
        <w:rPr/>
      </w:pPr>
      <w:r>
        <w:rPr/>
      </w:r>
    </w:p>
    <w:p>
      <w:pPr>
        <w:pStyle w:val="TextBody"/>
        <w:bidi w:val="0"/>
        <w:spacing w:lineRule="auto" w:line="276" w:before="1" w:after="1"/>
        <w:jc w:val="left"/>
        <w:rPr>
          <w:rFonts w:ascii="Times New Roman;serif" w:hAnsi="Times New Roman;serif"/>
          <w:b w:val="false"/>
          <w:i/>
          <w:color w:val="000000"/>
          <w:sz w:val="20"/>
        </w:rPr>
      </w:pPr>
      <w:r>
        <w:rPr>
          <w:rFonts w:ascii="Times New Roman;serif" w:hAnsi="Times New Roman;serif"/>
          <w:b w:val="false"/>
          <w:i/>
          <w:color w:val="000000"/>
          <w:sz w:val="20"/>
        </w:rPr>
        <w:t>* Percentage not meaningful</w:t>
      </w:r>
    </w:p>
    <w:p>
      <w:pPr>
        <w:pStyle w:val="TextBody"/>
        <w:bidi w:val="0"/>
        <w:spacing w:before="1" w:after="1"/>
        <w:jc w:val="left"/>
        <w:rPr/>
      </w:pPr>
      <w:r>
        <w:rPr/>
      </w:r>
    </w:p>
    <w:p>
      <w:pPr>
        <w:pStyle w:val="TextBody"/>
        <w:bidi w:val="0"/>
        <w:spacing w:lineRule="auto" w:line="276" w:before="1" w:after="1"/>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76"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increased by approximately $8.3 million for the six months ended June 30, 2026 as compared to the same period in 2025. The following table summarizes our research and development expenses for the six months ended June 30, 2026 as compared to the same period in 2025: </w:t>
      </w:r>
    </w:p>
    <w:p>
      <w:pPr>
        <w:pStyle w:val="TextBody"/>
        <w:bidi w:val="0"/>
        <w:spacing w:before="1" w:after="1"/>
        <w:jc w:val="left"/>
        <w:rPr/>
      </w:pPr>
      <w:r>
        <w:rPr/>
      </w:r>
    </w:p>
    <w:tbl>
      <w:tblPr>
        <w:tblW w:w="8889" w:type="dxa"/>
        <w:jc w:val="left"/>
        <w:tblInd w:w="0" w:type="dxa"/>
        <w:tblLayout w:type="fixed"/>
        <w:tblCellMar>
          <w:top w:w="28" w:type="dxa"/>
          <w:left w:w="28" w:type="dxa"/>
          <w:bottom w:w="28" w:type="dxa"/>
          <w:right w:w="28" w:type="dxa"/>
        </w:tblCellMar>
      </w:tblPr>
      <w:tblGrid>
        <w:gridCol w:w="988"/>
        <w:gridCol w:w="866"/>
        <w:gridCol w:w="876"/>
        <w:gridCol w:w="211"/>
        <w:gridCol w:w="1081"/>
        <w:gridCol w:w="109"/>
        <w:gridCol w:w="109"/>
        <w:gridCol w:w="109"/>
        <w:gridCol w:w="109"/>
        <w:gridCol w:w="211"/>
        <w:gridCol w:w="1081"/>
        <w:gridCol w:w="109"/>
        <w:gridCol w:w="109"/>
        <w:gridCol w:w="109"/>
        <w:gridCol w:w="109"/>
        <w:gridCol w:w="211"/>
        <w:gridCol w:w="976"/>
        <w:gridCol w:w="109"/>
        <w:gridCol w:w="109"/>
        <w:gridCol w:w="109"/>
        <w:gridCol w:w="109"/>
        <w:gridCol w:w="233"/>
        <w:gridCol w:w="233"/>
        <w:gridCol w:w="614"/>
      </w:tblGrid>
      <w:tr>
        <w:trPr/>
        <w:tc>
          <w:tcPr>
            <w:tcW w:w="98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CTIM-76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4,484,756 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2,506,621 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1,978,135 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CT-95</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2,922,347 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2,253,560 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668,787 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61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CT-202</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9,436,054 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4,132,811 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5,303,243 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6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Personnel-related costs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2,553,821 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2,266,059 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287,762 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1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research and development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147,888 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134,484 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19,544,866 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11,293,535 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8,251,331 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 w:after="1"/>
        <w:jc w:val="left"/>
        <w:rPr/>
      </w:pPr>
      <w:r>
        <w:rPr/>
      </w:r>
    </w:p>
    <w:p>
      <w:pPr>
        <w:pStyle w:val="TextBody"/>
        <w:bidi w:val="0"/>
        <w:spacing w:lineRule="auto" w:line="276" w:before="120" w:after="1"/>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CTIM-76 expenditures increased by $2.0 million primarily due to an increase of $1.9 million in clinical costs related to the CTIM-76 Phase 1 trial. CT-95 expenses increased by $0.7 million primarily due to an increase of $1.4 million in clinical costs related to the CT-95 Phase 1 trial, partially offset by a $0.7 million decrease in preclinical, contract manufacturing, and diagnostic development expenses. CT-202 expenses increased by $5.3 million primarily due to $6.5 million in consideration paid under the BioAtla License Agreement Amendment entered into in May 2026 and a $0.9 million increase in clinical costs mainly related to the CT-202 Phase 1 trial start up. These increases were partially offset by a decrease of $1.5 million in contract manufacturing costs and a decrease of $0.6 million in preclinical costs. Personnel-related costs, which include salaries, benefits and share-based compensation expense, increased by approximately $0.3 million, primarily due to higher headcount offset by lower termination benefits incurred compared to the same period 2025.</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our portfolio prioritization and decision to discontinue internal development of CT-95, we expect costs associated with CT-95, including clinical trial and related development expenses, to decrease in future periods as we wind down the CT-95 Phase 1 trial.</w:t>
      </w:r>
    </w:p>
    <w:p>
      <w:pPr>
        <w:pStyle w:val="TextBody"/>
        <w:bidi w:val="0"/>
        <w:spacing w:before="120" w:after="1"/>
        <w:ind w:left="0" w:right="0" w:firstLine="490"/>
        <w:jc w:val="left"/>
        <w:rPr/>
      </w:pPr>
      <w:r>
        <w:rPr/>
      </w:r>
    </w:p>
    <w:p>
      <w:pPr>
        <w:pStyle w:val="TextBody"/>
        <w:bidi w:val="0"/>
        <w:spacing w:lineRule="auto" w:line="276" w:before="1" w:after="1"/>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before="0" w:after="0"/>
        <w:ind w:left="0" w:right="0" w:firstLine="490"/>
        <w:jc w:val="left"/>
        <w:rPr/>
      </w:pPr>
      <w:r>
        <w:rPr/>
      </w:r>
    </w:p>
    <w:p>
      <w:pPr>
        <w:pStyle w:val="TextBody"/>
        <w:bidi w:val="0"/>
        <w:spacing w:lineRule="auto" w:line="276" w:before="1" w:after="1"/>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increased by approximately $0.8 million for the six months ended June 30, 2026 as compared to the same period in 2025. The increase was primarily driven by a $0.5 million increase in professional fees. Salaries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lineRule="auto" w:line="276" w:before="1" w:after="1"/>
        <w:jc w:val="left"/>
        <w:rPr>
          <w:rFonts w:ascii="Times New Roman;serif" w:hAnsi="Times New Roman;serif"/>
          <w:b w:val="false"/>
          <w:color w:val="000000"/>
          <w:sz w:val="20"/>
        </w:rPr>
      </w:pPr>
      <w:r>
        <w:rPr>
          <w:rFonts w:ascii="Times New Roman;serif" w:hAnsi="Times New Roman;serif"/>
          <w:b w:val="false"/>
          <w:color w:val="000000"/>
          <w:sz w:val="20"/>
        </w:rPr>
        <w:t>and personnel related costs, including share-based compensation, also increased $0.3 million mainly due to higher headcount and compensation adjustments.</w:t>
      </w:r>
    </w:p>
    <w:p>
      <w:pPr>
        <w:pStyle w:val="TextBody"/>
        <w:bidi w:val="0"/>
        <w:spacing w:before="0" w:after="0"/>
        <w:jc w:val="left"/>
        <w:rPr/>
      </w:pPr>
      <w:r>
        <w:rPr/>
      </w:r>
    </w:p>
    <w:p>
      <w:pPr>
        <w:pStyle w:val="TextBody"/>
        <w:bidi w:val="0"/>
        <w:spacing w:lineRule="auto" w:line="276" w:before="1" w:after="1"/>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76"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Interest income decreased by approximately $0.9 million for the six months ended June 30, 2026 as compared to the same period in 2025, primarily as a result of lower average cash and cash equivalent balances during the six months ended June 30, 2026 due to cash used to fund ongoing operations.</w:t>
      </w:r>
    </w:p>
    <w:p>
      <w:pPr>
        <w:pStyle w:val="TextBody"/>
        <w:bidi w:val="0"/>
        <w:spacing w:before="0" w:after="0"/>
        <w:jc w:val="left"/>
        <w:rPr/>
      </w:pPr>
      <w:r>
        <w:rPr/>
      </w:r>
    </w:p>
    <w:p>
      <w:pPr>
        <w:pStyle w:val="TextBody"/>
        <w:bidi w:val="0"/>
        <w:spacing w:lineRule="auto" w:line="276" w:before="1" w:after="1"/>
        <w:jc w:val="left"/>
        <w:rPr>
          <w:rFonts w:ascii="Times New Roman;serif" w:hAnsi="Times New Roman;serif"/>
          <w:b w:val="false"/>
          <w:i/>
          <w:color w:val="000000"/>
          <w:sz w:val="20"/>
        </w:rPr>
      </w:pPr>
      <w:r>
        <w:rPr>
          <w:rFonts w:ascii="Times New Roman;serif" w:hAnsi="Times New Roman;serif"/>
          <w:b w:val="false"/>
          <w:i/>
          <w:color w:val="000000"/>
          <w:sz w:val="20"/>
        </w:rPr>
        <w:t>Other Income (Expense)</w:t>
      </w:r>
    </w:p>
    <w:p>
      <w:pPr>
        <w:pStyle w:val="TextBody"/>
        <w:bidi w:val="0"/>
        <w:spacing w:lineRule="auto" w:line="276"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Other income was approximately $0.1 million for the six months ended June 30, 2026, as compared to approximately $20,000 for the same period in 2025. This change is primarily due to higher foreign currency gains during the six months ended June 30, 2026, as compared to foreign currency gains during the prior year period, in each case as a result of exchange rate fluctuations on transactions denominated in a currency other than our functional currency.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76" w:before="120" w:after="1"/>
        <w:jc w:val="left"/>
        <w:rPr>
          <w:rFonts w:ascii="Times New Roman;serif" w:hAnsi="Times New Roman;serif"/>
          <w:b/>
          <w:i/>
          <w:color w:val="000000"/>
          <w:sz w:val="20"/>
        </w:rPr>
      </w:pPr>
      <w:r>
        <w:rPr>
          <w:rFonts w:ascii="Times New Roman;serif" w:hAnsi="Times New Roman;serif"/>
          <w:b/>
          <w:i/>
          <w:color w:val="000000"/>
          <w:sz w:val="20"/>
        </w:rPr>
        <w:t xml:space="preserve">Overview </w:t>
      </w:r>
    </w:p>
    <w:p>
      <w:pPr>
        <w:pStyle w:val="TextBody"/>
        <w:bidi w:val="0"/>
        <w:spacing w:lineRule="auto" w:line="276"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Since our inception, we have not recognized any revenue and have incurred operating losses and negative cash flows from our operations. We have not yet commercialized any product and we do not expect to generate revenue from sales of any products for several years, if at all. Since our inception through June 30, 2026, we have funded our operations through the sale of common stock, warrants, convertible debt, and convertible preferred stock. As of June 30, 2026, we had $43.0 million in cash and cash equivalents and an accumulated deficit of $154.1 million. </w:t>
      </w:r>
    </w:p>
    <w:p>
      <w:pPr>
        <w:pStyle w:val="TextBody"/>
        <w:bidi w:val="0"/>
        <w:spacing w:before="0" w:after="0"/>
        <w:ind w:left="0" w:right="0" w:firstLine="540"/>
        <w:jc w:val="left"/>
        <w:rPr/>
      </w:pPr>
      <w:r>
        <w:rPr/>
      </w:r>
    </w:p>
    <w:p>
      <w:pPr>
        <w:pStyle w:val="TextBody"/>
        <w:bidi w:val="0"/>
        <w:spacing w:lineRule="auto" w:line="25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Based on our current operating plan and anticipated milestones, we expect our cash and cash equivalents at June 30, 2026 will be sufficient to fund our operations into the fourth quarter of 2027. We have based these estimates on assumptions that may prove to be imprecise, and we could utilize our available capital resources sooner than we expect.</w:t>
      </w:r>
    </w:p>
    <w:p>
      <w:pPr>
        <w:pStyle w:val="TextBody"/>
        <w:bidi w:val="0"/>
        <w:spacing w:lineRule="auto" w:line="276" w:before="360" w:after="283"/>
        <w:jc w:val="left"/>
        <w:rPr>
          <w:rFonts w:ascii="Times New Roman;serif" w:hAnsi="Times New Roman;serif"/>
          <w:b/>
          <w:i/>
          <w:color w:val="000000"/>
          <w:sz w:val="20"/>
        </w:rPr>
      </w:pPr>
      <w:r>
        <w:rPr>
          <w:rFonts w:ascii="Times New Roman;serif" w:hAnsi="Times New Roman;serif"/>
          <w:b/>
          <w:i/>
          <w:color w:val="000000"/>
          <w:sz w:val="20"/>
        </w:rPr>
        <w:t xml:space="preserve">Sources of Liquidity </w:t>
      </w:r>
    </w:p>
    <w:p>
      <w:pPr>
        <w:pStyle w:val="TextBody"/>
        <w:bidi w:val="0"/>
        <w:spacing w:before="1" w:after="1"/>
        <w:jc w:val="left"/>
        <w:rPr/>
      </w:pPr>
      <w:r>
        <w:rPr/>
      </w:r>
    </w:p>
    <w:p>
      <w:pPr>
        <w:pStyle w:val="TextBody"/>
        <w:bidi w:val="0"/>
        <w:spacing w:lineRule="auto" w:line="276"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At-the-Market Offering</w:t>
      </w:r>
    </w:p>
    <w:p>
      <w:pPr>
        <w:pStyle w:val="TextBody"/>
        <w:bidi w:val="0"/>
        <w:spacing w:before="1" w:after="1"/>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Amended ATM Sales Agreement, we may offer and sell shares of common stock having an aggregate offering amount of up to $75.0 million. As of June 30, 2026, $75.0 million remained available for sale under the Amended ATM Sales Agreement.</w:t>
      </w:r>
    </w:p>
    <w:p>
      <w:pPr>
        <w:pStyle w:val="TextBody"/>
        <w:bidi w:val="0"/>
        <w:spacing w:before="1" w:after="1"/>
        <w:jc w:val="left"/>
        <w:rPr/>
      </w:pPr>
      <w:r>
        <w:rPr/>
      </w:r>
    </w:p>
    <w:p>
      <w:pPr>
        <w:pStyle w:val="TextBody"/>
        <w:bidi w:val="0"/>
        <w:spacing w:lineRule="auto" w:line="276"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Private Placement</w:t>
      </w:r>
    </w:p>
    <w:p>
      <w:pPr>
        <w:pStyle w:val="TextBody"/>
        <w:bidi w:val="0"/>
        <w:spacing w:before="1" w:after="1"/>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May 2024 Private Placement, we sold (i) 59,032,259 shares of common stock at a purchase price of $1.55 per share, and (ii) Pre-Funded Warrants to purchase 5,482,741 shares of common stock at a purchase price of $1.549 per Pre-Funded Warrant.The aggregate gross proceeds from the Private Placement were approximately $100 million, before deducting offering expenses of $5.2 million,</w:t>
      </w:r>
    </w:p>
    <w:p>
      <w:pPr>
        <w:pStyle w:val="TextBody"/>
        <w:bidi w:val="0"/>
        <w:spacing w:before="1" w:after="1"/>
        <w:jc w:val="left"/>
        <w:rPr/>
      </w:pPr>
      <w:r>
        <w:rPr/>
      </w:r>
    </w:p>
    <w:p>
      <w:pPr>
        <w:pStyle w:val="TextBody"/>
        <w:bidi w:val="0"/>
        <w:spacing w:lineRule="auto" w:line="276" w:before="1" w:after="1"/>
        <w:jc w:val="left"/>
        <w:rPr>
          <w:rFonts w:ascii="Times New Roman;serif" w:hAnsi="Times New Roman;serif"/>
          <w:b/>
          <w:i/>
          <w:color w:val="000000"/>
          <w:sz w:val="20"/>
        </w:rPr>
      </w:pPr>
      <w:r>
        <w:rPr>
          <w:rFonts w:ascii="Times New Roman;serif" w:hAnsi="Times New Roman;serif"/>
          <w:b/>
          <w:i/>
          <w:color w:val="000000"/>
          <w:sz w:val="20"/>
        </w:rPr>
        <w:t xml:space="preserve">Funding Requirements </w:t>
      </w:r>
    </w:p>
    <w:p>
      <w:pPr>
        <w:pStyle w:val="TextBody"/>
        <w:bidi w:val="0"/>
        <w:spacing w:lineRule="auto" w:line="276"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use of cash is to fund operating expenses, which consist of research and development expenditures and various general and administrative expenses. Cash used to fund operating expenses is impacted by the timing of when we pay these expenses, as reflected in the change in our outstanding accounts payable, accrued expenses and prepaid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scope, timing, progress and results of discovery, preclinical development, laboratory testing and clinical trials for our current and any future product candidates that we may pursue;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costs of manufacturing our current and any future product candidates for clinical trials and in preparation for regulatory approval and commercialization;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extent to which we enter into collaborations or other arrangements with additional third parties in order to further develop our current and any future product candidates that we may pursue;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costs of preparing, filing and prosecuting patent applications, maintaining and enforcing our intellectual property rights and defending intellectual property-related claims;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costs and fees associated with the discovery, acquisition or in-license of additional product candidates or technologies;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expenses needed to attract and retain skilled personnel;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costs associated with being a public company;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costs required to scale up our clinical, regulatory and manufacturing capabilities;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costs of future commercialization activities, if any, including establishing sales, marketing, manufacturing and distribution capabilities, for our current and any future product candidates for which we receive regulatory approval;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revenue, if any, received from commercial sales of our current and any future product candidates, should any of our product candidates receive regulatory approval. </w:t>
      </w:r>
    </w:p>
    <w:p>
      <w:pPr>
        <w:pStyle w:val="TextBody"/>
        <w:bidi w:val="0"/>
        <w:spacing w:lineRule="auto" w:line="276" w:before="180" w:after="283"/>
        <w:jc w:val="left"/>
        <w:rPr>
          <w:color w:val="000000"/>
        </w:rPr>
      </w:pPr>
      <w:r>
        <w:rPr>
          <w:color w:val="000000"/>
        </w:rPr>
        <w:t> </w:t>
      </w:r>
    </w:p>
    <w:p>
      <w:pPr>
        <w:pStyle w:val="TextBody"/>
        <w:bidi w:val="0"/>
        <w:spacing w:lineRule="auto" w:line="276"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will need additional funds to meet our operational needs and capital requirements for clinical trials, other research and development expenditures, and general and administrative expenses. We currently have no credit facility or committed sources of capital. </w:t>
      </w:r>
    </w:p>
    <w:p>
      <w:pPr>
        <w:pStyle w:val="TextBody"/>
        <w:bidi w:val="0"/>
        <w:spacing w:lineRule="auto" w:line="276"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Until such time, if ever, as we can generate substantial product revenue, we expect to finance our operations through a combination of equity offerings, debt financings, collaborations, strategic transactions and/or marketing, distribution or licensing arrangements. To the extent that we raise additional capital through the sale of equity or convertible debt securities, the ownership interests of our stockholders will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transactions or marketing, or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lineRule="auto" w:line="276" w:before="360" w:after="283"/>
        <w:jc w:val="left"/>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lineRule="auto" w:line="276"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a summary of our cash flows for the periods indicated: </w:t>
      </w:r>
    </w:p>
    <w:p>
      <w:pPr>
        <w:pStyle w:val="TextBody"/>
        <w:bidi w:val="0"/>
        <w:spacing w:before="1" w:after="1"/>
        <w:jc w:val="left"/>
        <w:rPr/>
      </w:pPr>
      <w:r>
        <w:rPr/>
      </w:r>
    </w:p>
    <w:p>
      <w:pPr>
        <w:pStyle w:val="TextBody"/>
        <w:bidi w:val="0"/>
        <w:spacing w:lineRule="auto" w:line="276" w:before="0" w:after="0"/>
        <w:jc w:val="left"/>
        <w:rPr>
          <w:color w:val="000000"/>
        </w:rPr>
      </w:pPr>
      <w:r>
        <w:rPr>
          <w:color w:val="000000"/>
        </w:rPr>
        <w:t> </w:t>
      </w:r>
    </w:p>
    <w:tbl>
      <w:tblPr>
        <w:tblW w:w="6158" w:type="dxa"/>
        <w:jc w:val="left"/>
        <w:tblInd w:w="0" w:type="dxa"/>
        <w:tblLayout w:type="fixed"/>
        <w:tblCellMar>
          <w:top w:w="28" w:type="dxa"/>
          <w:left w:w="28" w:type="dxa"/>
          <w:bottom w:w="28" w:type="dxa"/>
          <w:right w:w="28" w:type="dxa"/>
        </w:tblCellMar>
      </w:tblPr>
      <w:tblGrid>
        <w:gridCol w:w="1120"/>
        <w:gridCol w:w="987"/>
        <w:gridCol w:w="997"/>
        <w:gridCol w:w="196"/>
        <w:gridCol w:w="1036"/>
        <w:gridCol w:w="109"/>
        <w:gridCol w:w="109"/>
        <w:gridCol w:w="109"/>
        <w:gridCol w:w="109"/>
        <w:gridCol w:w="196"/>
        <w:gridCol w:w="1036"/>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ind w:left="0" w:right="0" w:hanging="18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76" w:before="1" w:after="1"/>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Cash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(18,449,111)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(10,863,561)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76" w:before="1" w:after="1"/>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(4,555,746)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(33,948)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76" w:before="1" w:after="1"/>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Cash used in financing activities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(15,268)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76" w:before="1" w:after="1"/>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Net decrease in cash and cash equivalents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(23,004,857)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(10,912,777)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360" w:after="283"/>
        <w:jc w:val="left"/>
        <w:rPr>
          <w:rFonts w:ascii="Times New Roman;serif" w:hAnsi="Times New Roman;serif"/>
          <w:b/>
          <w:i/>
          <w:color w:val="000000"/>
          <w:sz w:val="20"/>
        </w:rPr>
      </w:pPr>
      <w:r>
        <w:rPr>
          <w:rFonts w:ascii="Times New Roman;serif" w:hAnsi="Times New Roman;serif"/>
          <w:b/>
          <w:i/>
          <w:color w:val="000000"/>
          <w:sz w:val="20"/>
        </w:rPr>
        <w:t>Comparison of the Six Months Ended June 30, 2026 and 2025</w:t>
      </w:r>
    </w:p>
    <w:p>
      <w:pPr>
        <w:pStyle w:val="TextBody"/>
        <w:bidi w:val="0"/>
        <w:spacing w:lineRule="auto" w:line="276"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Operating Activities </w:t>
      </w:r>
    </w:p>
    <w:p>
      <w:pPr>
        <w:pStyle w:val="TextBody"/>
        <w:bidi w:val="0"/>
        <w:spacing w:lineRule="auto" w:line="276"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we used $18.4 million of cash in operating activities. Cash used in operating activities reflected our net loss of $23.2 million and a net change in our operating assets and liabilities of $2.7 million, partially offset by an in-process research and development charge of $6.5 million and non-cash share-based compensation expense of $0.9 million. The primary uses of cash were to fund our operations related to the development of our product candidates. </w:t>
      </w:r>
    </w:p>
    <w:p>
      <w:pPr>
        <w:pStyle w:val="TextBody"/>
        <w:bidi w:val="0"/>
        <w:spacing w:before="1" w:after="1"/>
        <w:jc w:val="left"/>
        <w:rPr/>
      </w:pPr>
      <w:r>
        <w:rPr/>
      </w:r>
    </w:p>
    <w:p>
      <w:pPr>
        <w:pStyle w:val="TextBody"/>
        <w:bidi w:val="0"/>
        <w:spacing w:lineRule="auto" w:line="276" w:before="0" w:after="0"/>
        <w:ind w:left="0" w:right="0" w:firstLine="450"/>
        <w:jc w:val="left"/>
        <w:rPr/>
      </w:pPr>
      <w:r>
        <w:rPr>
          <w:rFonts w:ascii="Times New Roman;serif" w:hAnsi="Times New Roman;serif"/>
          <w:b w:val="false"/>
          <w:color w:val="000000"/>
          <w:sz w:val="20"/>
          <w:shd w:fill="FFFFFF" w:val="clear"/>
        </w:rPr>
        <w:t xml:space="preserve">During the six months ended June 30, 2025, </w:t>
      </w:r>
      <w:r>
        <w:rPr>
          <w:rFonts w:ascii="Times New Roman;serif" w:hAnsi="Times New Roman;serif"/>
          <w:b w:val="false"/>
          <w:color w:val="000000"/>
          <w:sz w:val="20"/>
        </w:rPr>
        <w:t>we used $10.9 million of cash in operating activities. Cash used in operating activities reflected our net loss of $13.4 million, partially offset by a change in our operating assets and liabilities of $1.8 million and non-cash share-based compensation expense of $0.7 million. The primary uses of cash were to fund our operations related to the development of our product candidates.</w:t>
      </w:r>
    </w:p>
    <w:p>
      <w:pPr>
        <w:pStyle w:val="TextBody"/>
        <w:bidi w:val="0"/>
        <w:spacing w:before="1" w:after="1"/>
        <w:jc w:val="left"/>
        <w:rPr/>
      </w:pPr>
      <w:r>
        <w:rPr/>
      </w:r>
    </w:p>
    <w:p>
      <w:pPr>
        <w:pStyle w:val="TextBody"/>
        <w:bidi w:val="0"/>
        <w:spacing w:lineRule="auto" w:line="276" w:before="1" w:after="283"/>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before="1" w:after="1"/>
        <w:jc w:val="left"/>
        <w:rPr/>
      </w:pPr>
      <w:r>
        <w:rPr/>
      </w:r>
    </w:p>
    <w:p>
      <w:pPr>
        <w:pStyle w:val="TextBody"/>
        <w:bidi w:val="0"/>
        <w:spacing w:lineRule="auto" w:line="276" w:before="1" w:after="1"/>
        <w:ind w:left="0" w:right="0" w:firstLine="450"/>
        <w:jc w:val="left"/>
        <w:rPr/>
      </w:pPr>
      <w:r>
        <w:rPr>
          <w:rFonts w:ascii="Times New Roman;serif" w:hAnsi="Times New Roman;serif"/>
          <w:b w:val="false"/>
          <w:color w:val="000000"/>
          <w:sz w:val="20"/>
        </w:rPr>
        <w:t>During the six months ended June 30, 2026, cash used in investing activities was attributable to a payment of $4.5 million under the BioAtla License Agreement Amendment, and purchases of property and equipment totaling $56,000</w:t>
      </w:r>
      <w:r>
        <w:rPr>
          <w:rFonts w:ascii="Times New Roman;serif" w:hAnsi="Times New Roman;serif"/>
          <w:b w:val="false"/>
          <w:color w:val="000000"/>
          <w:sz w:val="24"/>
        </w:rPr>
        <w:t xml:space="preserve">. </w:t>
      </w:r>
    </w:p>
    <w:p>
      <w:pPr>
        <w:pStyle w:val="TextBody"/>
        <w:bidi w:val="0"/>
        <w:spacing w:before="1" w:after="1"/>
        <w:jc w:val="left"/>
        <w:rPr/>
      </w:pPr>
      <w:r>
        <w:rPr/>
      </w:r>
    </w:p>
    <w:p>
      <w:pPr>
        <w:pStyle w:val="TextBody"/>
        <w:bidi w:val="0"/>
        <w:spacing w:lineRule="auto" w:line="276" w:before="1"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we used approximately $34,000 of cash to purchase property and equipment. </w:t>
      </w:r>
    </w:p>
    <w:p>
      <w:pPr>
        <w:pStyle w:val="TextBody"/>
        <w:bidi w:val="0"/>
        <w:spacing w:before="1" w:after="1"/>
        <w:jc w:val="left"/>
        <w:rPr/>
      </w:pPr>
      <w:r>
        <w:rPr/>
      </w:r>
    </w:p>
    <w:p>
      <w:pPr>
        <w:pStyle w:val="TextBody"/>
        <w:bidi w:val="0"/>
        <w:spacing w:lineRule="auto" w:line="276" w:before="1" w:after="1"/>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before="1" w:after="283"/>
        <w:jc w:val="left"/>
        <w:rPr/>
      </w:pPr>
      <w:r>
        <w:rPr/>
      </w:r>
    </w:p>
    <w:p>
      <w:pPr>
        <w:pStyle w:val="TextBody"/>
        <w:bidi w:val="0"/>
        <w:spacing w:lineRule="auto" w:line="276" w:before="1" w:after="283"/>
        <w:jc w:val="left"/>
        <w:rPr>
          <w:rFonts w:ascii="Times New Roman;serif" w:hAnsi="Times New Roman;serif"/>
          <w:b w:val="false"/>
          <w:color w:val="000000"/>
          <w:sz w:val="20"/>
        </w:rPr>
      </w:pPr>
      <w:r>
        <w:rPr>
          <w:rFonts w:ascii="Times New Roman;serif" w:hAnsi="Times New Roman;serif"/>
          <w:b w:val="false"/>
          <w:color w:val="000000"/>
          <w:sz w:val="20"/>
        </w:rPr>
        <w:t>We did not have cash flows from financing activities during the six months ended June 30, 2026.</w:t>
      </w:r>
    </w:p>
    <w:p>
      <w:pPr>
        <w:pStyle w:val="TextBody"/>
        <w:bidi w:val="0"/>
        <w:spacing w:before="1" w:after="1"/>
        <w:jc w:val="left"/>
        <w:rPr/>
      </w:pPr>
      <w:r>
        <w:r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used approximately $15,000 of cash in financing activities related to the payment of remaining offering costs from the sale of ATM Shares under our ATM Sales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
        <w:jc w:val="left"/>
        <w:rPr>
          <w:rFonts w:ascii="Times New Roman;serif" w:hAnsi="Times New Roman;serif"/>
          <w:b/>
          <w:color w:val="000000"/>
          <w:sz w:val="20"/>
        </w:rPr>
      </w:pPr>
      <w:r>
        <w:rPr>
          <w:rFonts w:ascii="Times New Roman;serif" w:hAnsi="Times New Roman;serif"/>
          <w:b/>
          <w:color w:val="000000"/>
          <w:sz w:val="20"/>
        </w:rPr>
        <w:t xml:space="preserve">Off-Balance Sheet Arrangements </w:t>
      </w:r>
    </w:p>
    <w:p>
      <w:pPr>
        <w:pStyle w:val="TextBody"/>
        <w:bidi w:val="0"/>
        <w:spacing w:lineRule="auto" w:line="276"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periods presented, we did not have, nor do we currently have,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We do not engage in off-balance sheet financing arrangements. In addition, we do not engage in trading activities involving non-exchange traded contracts. We therefore believe that we are not materially exposed to any financing, liquidity, market or credit risk that could arise if we had engaged in these relationships. </w:t>
      </w:r>
    </w:p>
    <w:p>
      <w:pPr>
        <w:pStyle w:val="TextBody"/>
        <w:bidi w:val="0"/>
        <w:spacing w:before="1" w:after="1"/>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left"/>
        <w:rPr/>
      </w:pPr>
      <w:r>
        <w:r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there were no material changes to our critical accounting policies and estimates from those described in our Annual Report on Form 10-K for the year ended December 31, 2025, as filed with the SEC on March 23,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lineRule="auto" w:line="276" w:before="360" w:after="1"/>
        <w:jc w:val="left"/>
        <w:rPr>
          <w:rFonts w:ascii="Times New Roman;serif" w:hAnsi="Times New Roman;serif"/>
          <w:b/>
          <w:color w:val="000000"/>
          <w:sz w:val="20"/>
        </w:rPr>
      </w:pPr>
      <w:r>
        <w:rPr>
          <w:rFonts w:ascii="Times New Roman;serif" w:hAnsi="Times New Roman;serif"/>
          <w:b/>
          <w:color w:val="000000"/>
          <w:sz w:val="20"/>
        </w:rPr>
        <w:t xml:space="preserve">Recent Accounting Pronouncements </w:t>
      </w:r>
    </w:p>
    <w:p>
      <w:pPr>
        <w:pStyle w:val="TextBody"/>
        <w:bidi w:val="0"/>
        <w:spacing w:lineRule="auto" w:line="276"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See Note 3 to our unaudited condensed consolidated financial statements found elsewhere in this Quarterly Report for a description of recent accounting pronouncements applicable to our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
        <w:jc w:val="left"/>
        <w:rPr>
          <w:rFonts w:ascii="Times New Roman;serif" w:hAnsi="Times New Roman;serif"/>
          <w:b/>
          <w:color w:val="000000"/>
          <w:sz w:val="20"/>
        </w:rPr>
      </w:pPr>
      <w:r>
        <w:rPr>
          <w:rFonts w:ascii="Times New Roman;serif" w:hAnsi="Times New Roman;serif"/>
          <w:b/>
          <w:color w:val="000000"/>
          <w:sz w:val="20"/>
        </w:rPr>
        <w:t xml:space="preserve">Emerging Growth Company and Smaller Reporting Company Status </w:t>
      </w:r>
    </w:p>
    <w:p>
      <w:pPr>
        <w:pStyle w:val="TextBody"/>
        <w:bidi w:val="0"/>
        <w:spacing w:lineRule="auto" w:line="276"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2012, the Jumpstart Our Business Startups Act (the “JOBS Act”) was enacted.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 </w:t>
      </w:r>
    </w:p>
    <w:p>
      <w:pPr>
        <w:pStyle w:val="TextBody"/>
        <w:bidi w:val="0"/>
        <w:spacing w:before="1" w:after="1"/>
        <w:jc w:val="left"/>
        <w:rPr/>
      </w:pPr>
      <w:r>
        <w:rPr/>
      </w:r>
    </w:p>
    <w:p>
      <w:pPr>
        <w:pStyle w:val="TextBody"/>
        <w:bidi w:val="0"/>
        <w:spacing w:lineRule="auto" w:line="276" w:before="1"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exemptions and reduced reporting requirements under the JOBS Act include, without limitation, the requirements for providing an auditor’s attestation report on our system of internal control over financial reporting pursuant to Section 404(b) of the Sarbanes-Oxley Act of 2002, an exemption from any requirement that may be adopted by the Public Company Accounting Oversight Board regarding mandatory audit firm rotation, and less extensive disclosure about our executive compensation arrangements. We will remain an emerging growth company until December 31, 2026, unless we earlier cease to qualify as an emerging growth company as a result of our total annual gross revenues, issuance of non-convertible debt securities or status as a large accelerated filer.</w:t>
      </w:r>
    </w:p>
    <w:p>
      <w:pPr>
        <w:pStyle w:val="TextBody"/>
        <w:bidi w:val="0"/>
        <w:spacing w:before="1" w:after="1"/>
        <w:jc w:val="left"/>
        <w:rPr/>
      </w:pPr>
      <w:r>
        <w:rPr/>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a “smaller reporting company,” meaning that the market value of our common equity held by non-affiliates was less than $700.0 million and our annual revenue was less than $100.0 million during the most recently completed fiscal year. We will continue to be a smaller reporting company while either (i) the market value of our common equity held by non-affiliates is less than $250.0 million or (ii) our annual revenue is less than $100.0 million during the most recently completed fiscal year and the market value of our common equity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lineRule="auto" w:line="276" w:before="360" w:after="1"/>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76"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in Rule 12b-2 of the Exchange Act and are not required to provide the information otherwise required under this Item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1" w:after="1"/>
        <w:jc w:val="left"/>
        <w:rPr/>
      </w:pPr>
      <w:r>
        <w:rPr/>
      </w:r>
    </w:p>
    <w:p>
      <w:pPr>
        <w:pStyle w:val="TextBody"/>
        <w:bidi w:val="0"/>
        <w:spacing w:lineRule="auto" w:line="276" w:before="1" w:after="1"/>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76" w:before="12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our principal financial officer, evaluated, as of the end of the period covered by this Quarterly Report on Form 10-Q, the effectiveness of our disclosure controls and procedures.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1" w:after="1"/>
        <w:jc w:val="left"/>
        <w:rPr/>
      </w:pPr>
      <w:r>
        <w:rPr/>
      </w:r>
    </w:p>
    <w:p>
      <w:pPr>
        <w:pStyle w:val="TextBody"/>
        <w:bidi w:val="0"/>
        <w:spacing w:lineRule="auto" w:line="276" w:before="1"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Based on the evaluation of our disclosure controls and procedures as of June 30, 2026, our principal executive officer and principal financial officer concluded that our disclosure controls and procedures as of such date were effective at the reasonable assurance level.</w:t>
      </w:r>
    </w:p>
    <w:p>
      <w:pPr>
        <w:pStyle w:val="TextBody"/>
        <w:bidi w:val="0"/>
        <w:spacing w:before="1" w:after="1"/>
        <w:jc w:val="left"/>
        <w:rPr/>
      </w:pPr>
      <w:r>
        <w:rPr/>
      </w:r>
    </w:p>
    <w:p>
      <w:pPr>
        <w:pStyle w:val="TextBody"/>
        <w:bidi w:val="0"/>
        <w:spacing w:lineRule="auto" w:line="276" w:before="1" w:after="1"/>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76" w:before="120" w:after="1"/>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 </w:t>
      </w:r>
    </w:p>
    <w:p>
      <w:pPr>
        <w:pStyle w:val="TextBody"/>
        <w:bidi w:val="0"/>
        <w:spacing w:before="1" w:after="1"/>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legal proceedings arising in the ordinary course of our business. Except as disclosed below, we are not presently a party to any material legal proceedings.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4, 2026, the Vladimir Gusinsky Revocable Trust filed a stockholder class action complaint (the “Action”) against us and our directors in the Court of Chancery of the State of Delaware (the “Court”) asserting that (i) Article V, Section 2 of our Amended and Restated Certificate of Incorporation, as amended (the “Certificate of Incorporation”), provides for a full term of three years for directors in violation of Section 211(b) of the General Corporation Law of the State of Delaware (the “DGCL”) and (ii) Article VI, Section 1 of the Certificate of Incorporation limits removal of directors only for cause in violation of Section 141(k) of the DGCL.</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24, 2026, a stipulation and proposed consent judgment (the “Stipulated Judgment”) was filed with the Court regarding the Action, and on March 11, 2026, the Court approved the Stipulated Judgment, pursuant to which Article V, Section 2 and Article VI, Section 1 of the Certificate of Incorporation were determined to be invalid and unenforceable. On March 11, 2026, we filed a Certificate of Correction with the Delaware Secretary of State reflecting such provisions as invalid, unenforceable and no longer part of the Certificate of Incorporation. On March 11, 2026, pursuant to the Stipulated Judgment, the Action was dismissed with prejudice with respect to the plaintiff; however, the Court retained jurisdiction to address any mootness fee application.</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30, 2026, we entered into a letter agreement (the “Letter Agreement”), pursuant to which a third party service provider (the “Provider”) of ours agreed to pay the Mootness Fee (as defined below) in full on our behalf.</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30, 2026, the Court granted a Stipulation and Proposed Order Closing the Case (the “Stipulated Order”). The Stipulated Order requires the payment of $850,000 in fees and expenses to plaintiff’s counsel in the Action (the “Mootness Fee”). The Court was not asked to review, and did not pass judgment on, entitlement to or the amount of the Mootness Fee being paid in connection with the Stipulated Order.</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 2026, the Provider paid the Mootness Fee in full pursuant to the Letter Agreement. The Action has since been 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Investing in our common stock involves a high degree of risk. In addition to the other information set forth in this Quarterly Report on Form 10-Q, you should carefully consider the factors described under the caption “Risk Factors” in our Annual Report on Form 10-K for the year ended December 31, 2025, filed with the SEC on March 23, 2026. Other than as described below, there have been no material changes to the risk factors described in that report. The occurrence of any of the events or developments described in our Risk Factors could adversely affect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may not be able to regain or maintain compliance with the continued listing standards of Nasdaq.</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is listed on the Nasdaq Capital Market, and we are therefore subject to its continued listing requirements, including requirements with respect to the market value of publicly-held shares, market value of listed shares, minimum bid price per share, and minimum stockholders’ equity, among others, and requirements relating to board and committee independence. If we fail to satisfy one or more of the requirements and are unable to timely regain compliance, we may be delisted from the Nasdaq Capital Market.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on July 29, 2026, we received a letter from Nasdaq notifying us that, because the closing bid price for our common stock had closed below $1.00 per share for 30 consecutive business days, we no longer complied with the minimum bid price requirement for continued listing on the Nasdaq Capital Market pursuant to Nasdaq Listing Rule 5550(a)(2)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“Minimum Bid Price Requirement”). Nasdaq’s notice has no immediate effect on the listing of our common stock, and, in accordance with Nasdaq Listing Rule 5810(c)(3)(A), we have until January 25, 2027 to regain compliance with the Minimum Bid Price Requirement by maintaining a closing bid price of at least $1.00 per share for a minimum of ten consecutive business days, unless Nasdaq exercises its discretion to extend this ten-day period pursuant to Nasdaq Listing Rule 5810(c)(3)(H). In the event that we do not regain compliance by January 25, 2027, we may be eligible for additional time to regain compliance with the Minimum Bid Price Requirement.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actively monitor our stock price, and, as appropriate, will consider implementing available options to regain or maintain compliance with the Minimum Bid Price Requirement. There can be no assurance, however, that we will be able to regain or maintain compliance with the Minimum Bid Price Requirement and meet Nasdaq’s other continued listing requirements. To the extent that we are unable to regain compliance with the Minimum Bid Price Requirement or fail to maintain compliance with Nasdaq’s other continued listing requirements, there is a risk that our common stock may be delisted from Nasdaq. Delisting from Nasdaq may adversely affect our ability to raise additional financing through the public or private sale of equity securities, significantly affect the ability of investors to trade our securities, or negatively affect the value and liquidity of our common stock. Delisting also could have other negative results, including the potential loss of employee confidence, the loss of institutional investors or interest in potential business development opportunities. Furthermore, if we are delisted from Nasdaq and we are not able to list our common stock on another exchange, our common stock may be eligible to trade on an over-the-counter system, such as the OTCQB market, where an investor may find it more difficult to sell our common stock or obtain accurate quotations as to the market value of our common stock. We cannot assure you that our common stock, if delisted from Nasdaq, will be listed on another national securities exchange or quoted on an over-the-counter quotation system.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Trading Plans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or officers (as defined in Rule 16a-1(f) of the Exchange Act) adopted or terminated any contract, instruction or written plan for the purchase or sale of our securities that was intended to satisfy the affirmative defense conditions of Rule 10b5-1(c) of the Exchange Act or any non-Rule 10b5-1 trading arrangement (as defined in Item 408(a) of Regulation S-K).</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Executive Officer Employment Agreement Amendments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4, 2026, we entered into: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an amendment (the “Lehr Amendment”) to that certain Amended and Restated Employment Agreement by and between us and Martin Lehr, our Chief Executive Officer, dated October 22, 2021 (the “Lehr Employment Agreement”);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an amendment (the “Minai-Azary Amendment”) to that certain Employment Agreement by and between us and Jennifer Minai-Azary, our Chief Financial Officer, dated November 1, 2021 (the “Minai-Azary Employment Agreement”); and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an amendment (the “Levit Amendment”) to that certain Employment Agreement by and between us and Alex Levit, our Chief Legal Officer and Corporate Secretary, dated October 22, 2021 (the “Levit Employment Agreement”).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Lehr Amendment, the Minai-Azary Amendment and the Levit Amendment are collectively referred to as the “Employment Agreement Amendments.” The Lehr Employment Agreement, the Minai-Azary Employment Agreement and the Levit Employment Agreement are collectively referred to as the “Employment Agreements.”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Employment Agreement Amendments revised the executives’ change in control severance protections by extending the protection period to include the three months preceding a Change in Control (as defined in the Employment Agreements). As a result, an executive officer who is terminated by us without Cause (as defined in the Employment Agreements) or resigns for Good Reason (as defined in the Employment Agreements) is eligible for change in control severance benefits if such termination or resignation occurs upon, within the three-month period prior to, or within the twelve-month period following a Change in Control (a “Termination Upon a Change in Control”), rather than only upon or within twelve months following a Change in Control.</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Lehr Amendment increased Mr. Lehr’s medical, vision and dental continuation benefits following a Termination Upon a Change in Control from up to 12 months to up to 18 months.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descriptions of the Employment Agreement Amendments do not purport to be complete and are qualified in their entirety by reference to the full text of the Lehr Amendment, the Minai-Azary Amendment and the Levit Amendment, copies of which are attached hereto as Exhibit 10.1, Exhibit 10.2 and Exhibit 10.3, respectively, and are incorporated by reference into this Item 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0"/>
        <w:gridCol w:w="220"/>
        <w:gridCol w:w="221"/>
        <w:gridCol w:w="2900"/>
        <w:gridCol w:w="2754"/>
        <w:gridCol w:w="3860"/>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3860"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Exhibit</w:t>
            </w:r>
          </w:p>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No.</w:t>
            </w:r>
          </w:p>
        </w:tc>
        <w:tc>
          <w:tcPr>
            <w:tcW w:w="951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Exhibit Description</w:t>
            </w:r>
          </w:p>
        </w:tc>
      </w:tr>
      <w:tr>
        <w:trPr/>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9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pPr>
            <w:hyperlink r:id="rId2">
              <w:r>
                <w:rPr>
                  <w:rStyle w:val="InternetLink"/>
                  <w:rFonts w:ascii="Times New Roman;serif" w:hAnsi="Times New Roman;serif"/>
                  <w:b w:val="false"/>
                  <w:color w:val="0000FF"/>
                  <w:sz w:val="20"/>
                  <w:u w:val="single"/>
                </w:rPr>
                <w:t>Amended &amp; Restated Certificate of Incorporation of Context Therapeutics Inc. as amended through March 11, 2026 (incorporated by reference to Exhibit 3.1 to the Company's Annual Report on Form 10-K (File No. 001-40654), as filed with the SEC on March 23, 2026).</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951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3">
              <w:r>
                <w:rPr>
                  <w:rStyle w:val="InternetLink"/>
                  <w:rFonts w:ascii="Times New Roman;serif" w:hAnsi="Times New Roman;serif"/>
                  <w:b w:val="false"/>
                  <w:color w:val="000080"/>
                  <w:sz w:val="20"/>
                  <w:u w:val="single"/>
                </w:rPr>
                <w:t xml:space="preserve">Certificate of </w:t>
              </w:r>
            </w:hyperlink>
            <w:hyperlink r:id="rId4">
              <w:r>
                <w:rPr>
                  <w:rStyle w:val="InternetLink"/>
                  <w:rFonts w:ascii="Times New Roman;serif" w:hAnsi="Times New Roman;serif"/>
                  <w:b w:val="false"/>
                  <w:color w:val="000080"/>
                  <w:sz w:val="20"/>
                  <w:u w:val="single"/>
                </w:rPr>
                <w:t>Amendment</w:t>
              </w:r>
            </w:hyperlink>
            <w:hyperlink r:id="rId5">
              <w:r>
                <w:rPr>
                  <w:rStyle w:val="InternetLink"/>
                  <w:rFonts w:ascii="Times New Roman;serif" w:hAnsi="Times New Roman;serif"/>
                  <w:b w:val="false"/>
                  <w:color w:val="000080"/>
                  <w:sz w:val="20"/>
                  <w:u w:val="single"/>
                </w:rPr>
                <w:t xml:space="preserve"> to the Amended and Restated Certificate of Incorporation, dated </w:t>
              </w:r>
            </w:hyperlink>
            <w:hyperlink r:id="rId6">
              <w:r>
                <w:rPr>
                  <w:rStyle w:val="InternetLink"/>
                  <w:rFonts w:ascii="Times New Roman;serif" w:hAnsi="Times New Roman;serif"/>
                  <w:b w:val="false"/>
                  <w:color w:val="000080"/>
                  <w:sz w:val="20"/>
                  <w:u w:val="single"/>
                </w:rPr>
                <w:t>June 24</w:t>
              </w:r>
            </w:hyperlink>
            <w:hyperlink r:id="rId7">
              <w:r>
                <w:rPr>
                  <w:rStyle w:val="InternetLink"/>
                  <w:rFonts w:ascii="Times New Roman;serif" w:hAnsi="Times New Roman;serif"/>
                  <w:b w:val="false"/>
                  <w:color w:val="000080"/>
                  <w:sz w:val="20"/>
                  <w:u w:val="single"/>
                </w:rPr>
                <w:t xml:space="preserve">, 2026 (incorporated by reference to Exhibit 3.1 to the Company’s Current Report on Form 8-K (File No. 001-40654), as filed with the SEC on </w:t>
              </w:r>
            </w:hyperlink>
            <w:hyperlink r:id="rId8">
              <w:r>
                <w:rPr>
                  <w:rStyle w:val="InternetLink"/>
                  <w:rFonts w:ascii="Times New Roman;serif" w:hAnsi="Times New Roman;serif"/>
                  <w:b w:val="false"/>
                  <w:color w:val="000080"/>
                  <w:sz w:val="20"/>
                  <w:u w:val="single"/>
                </w:rPr>
                <w:t>Ju</w:t>
              </w:r>
            </w:hyperlink>
            <w:hyperlink r:id="rId9">
              <w:r>
                <w:rPr>
                  <w:rStyle w:val="InternetLink"/>
                  <w:rFonts w:ascii="Times New Roman;serif" w:hAnsi="Times New Roman;serif"/>
                  <w:b w:val="false"/>
                  <w:color w:val="000080"/>
                  <w:sz w:val="20"/>
                  <w:u w:val="single"/>
                </w:rPr>
                <w:t>n</w:t>
              </w:r>
            </w:hyperlink>
            <w:hyperlink r:id="rId10">
              <w:r>
                <w:rPr>
                  <w:rStyle w:val="InternetLink"/>
                  <w:rFonts w:ascii="Times New Roman;serif" w:hAnsi="Times New Roman;serif"/>
                  <w:b w:val="false"/>
                  <w:color w:val="000080"/>
                  <w:sz w:val="20"/>
                  <w:u w:val="single"/>
                </w:rPr>
                <w:t>e</w:t>
              </w:r>
            </w:hyperlink>
            <w:hyperlink r:id="rId11">
              <w:r>
                <w:rPr>
                  <w:rStyle w:val="InternetLink"/>
                  <w:rFonts w:ascii="Times New Roman;serif" w:hAnsi="Times New Roman;serif"/>
                  <w:b w:val="false"/>
                  <w:color w:val="000080"/>
                  <w:sz w:val="20"/>
                  <w:u w:val="single"/>
                </w:rPr>
                <w:t xml:space="preserve"> </w:t>
              </w:r>
            </w:hyperlink>
            <w:hyperlink r:id="rId12">
              <w:r>
                <w:rPr>
                  <w:rStyle w:val="InternetLink"/>
                  <w:rFonts w:ascii="Times New Roman;serif" w:hAnsi="Times New Roman;serif"/>
                  <w:b w:val="false"/>
                  <w:color w:val="000080"/>
                  <w:sz w:val="20"/>
                  <w:u w:val="single"/>
                </w:rPr>
                <w:t>26</w:t>
              </w:r>
            </w:hyperlink>
            <w:hyperlink r:id="rId13">
              <w:r>
                <w:rPr>
                  <w:rStyle w:val="InternetLink"/>
                  <w:rFonts w:ascii="Times New Roman;serif" w:hAnsi="Times New Roman;serif"/>
                  <w:b w:val="false"/>
                  <w:color w:val="000080"/>
                  <w:sz w:val="20"/>
                  <w:u w:val="single"/>
                </w:rPr>
                <w:t>, 2026).</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951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14">
              <w:r>
                <w:rPr>
                  <w:rStyle w:val="InternetLink"/>
                  <w:rFonts w:ascii="Times New Roman;serif" w:hAnsi="Times New Roman;serif"/>
                  <w:b w:val="false"/>
                  <w:color w:val="000080"/>
                  <w:sz w:val="20"/>
                  <w:u w:val="single"/>
                </w:rPr>
                <w:t>Amended and Restated Bylaws of Context Therapeutics Inc. (incorporated by reference to Exhibit 3.2 to the Company's Annual Report on Form 10</w:t>
              </w:r>
            </w:hyperlink>
            <w:hyperlink r:id="rId15">
              <w:r>
                <w:rPr>
                  <w:rStyle w:val="InternetLink"/>
                  <w:rFonts w:ascii="Times New Roman;serif" w:hAnsi="Times New Roman;serif"/>
                  <w:b w:val="false"/>
                  <w:color w:val="000080"/>
                  <w:sz w:val="20"/>
                  <w:u w:val="single"/>
                </w:rPr>
                <w:t>-K (File No. 001-40654), as filed with the SEC on March 21, 2024</w:t>
              </w:r>
            </w:hyperlink>
            <w:hyperlink r:id="rId16">
              <w:r>
                <w:rPr>
                  <w:rStyle w:val="InternetLink"/>
                  <w:rFonts w:ascii="Times New Roman;serif" w:hAnsi="Times New Roman;serif"/>
                  <w:b w:val="false"/>
                  <w:color w:val="000080"/>
                  <w:sz w:val="20"/>
                  <w:u w:val="single"/>
                </w:rPr>
                <w:t>).</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951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101employmentagmtamendme.htm">
              <w:r>
                <w:rPr>
                  <w:rStyle w:val="InternetLink"/>
                  <w:rFonts w:ascii="Times New Roman;serif" w:hAnsi="Times New Roman;serif"/>
                  <w:b w:val="false"/>
                  <w:color w:val="000080"/>
                  <w:sz w:val="20"/>
                  <w:u w:val="single"/>
                </w:rPr>
                <w:t>A</w:t>
              </w:r>
            </w:hyperlink>
            <w:hyperlink w:anchor="ex101employmentagmtamendme.htm">
              <w:r>
                <w:rPr>
                  <w:rStyle w:val="InternetLink"/>
                  <w:rFonts w:ascii="Times New Roman;serif" w:hAnsi="Times New Roman;serif"/>
                  <w:b w:val="false"/>
                  <w:color w:val="000080"/>
                  <w:sz w:val="20"/>
                  <w:u w:val="single"/>
                </w:rPr>
                <w:t>mend</w:t>
              </w:r>
            </w:hyperlink>
            <w:hyperlink w:anchor="ex101employmentagmtamendme.htm">
              <w:r>
                <w:rPr>
                  <w:rStyle w:val="InternetLink"/>
                  <w:rFonts w:ascii="Times New Roman;serif" w:hAnsi="Times New Roman;serif"/>
                  <w:b w:val="false"/>
                  <w:color w:val="000080"/>
                  <w:sz w:val="20"/>
                  <w:u w:val="single"/>
                </w:rPr>
                <w:t>ment No. 1</w:t>
              </w:r>
            </w:hyperlink>
            <w:hyperlink w:anchor="ex101employmentagmtamendme.htm">
              <w:r>
                <w:rPr>
                  <w:rStyle w:val="InternetLink"/>
                  <w:rFonts w:ascii="Times New Roman;serif" w:hAnsi="Times New Roman;serif"/>
                  <w:b w:val="false"/>
                  <w:color w:val="000080"/>
                  <w:sz w:val="20"/>
                  <w:u w:val="single"/>
                </w:rPr>
                <w:t>,</w:t>
              </w:r>
            </w:hyperlink>
            <w:hyperlink w:anchor="ex101employmentagmtamendme.htm">
              <w:r>
                <w:rPr>
                  <w:rStyle w:val="InternetLink"/>
                  <w:rFonts w:ascii="Times New Roman;serif" w:hAnsi="Times New Roman;serif"/>
                  <w:b w:val="false"/>
                  <w:color w:val="000080"/>
                  <w:sz w:val="20"/>
                  <w:u w:val="single"/>
                </w:rPr>
                <w:t xml:space="preserve"> dated August </w:t>
              </w:r>
            </w:hyperlink>
            <w:hyperlink w:anchor="ex101employmentagmtamendme.htm">
              <w:r>
                <w:rPr>
                  <w:rStyle w:val="InternetLink"/>
                  <w:rFonts w:ascii="Times New Roman;serif" w:hAnsi="Times New Roman;serif"/>
                  <w:b w:val="false"/>
                  <w:color w:val="000080"/>
                  <w:sz w:val="20"/>
                  <w:u w:val="single"/>
                </w:rPr>
                <w:t>4</w:t>
              </w:r>
            </w:hyperlink>
            <w:hyperlink w:anchor="ex101employmentagmtamendme.htm">
              <w:r>
                <w:rPr>
                  <w:rStyle w:val="InternetLink"/>
                  <w:rFonts w:ascii="Times New Roman;serif" w:hAnsi="Times New Roman;serif"/>
                  <w:b w:val="false"/>
                  <w:color w:val="000080"/>
                  <w:sz w:val="20"/>
                  <w:u w:val="single"/>
                </w:rPr>
                <w:t>, 2026,</w:t>
              </w:r>
            </w:hyperlink>
            <w:hyperlink w:anchor="ex101employmentagmtamendme.htm">
              <w:r>
                <w:rPr>
                  <w:rStyle w:val="InternetLink"/>
                  <w:rFonts w:ascii="Times New Roman;serif" w:hAnsi="Times New Roman;serif"/>
                  <w:b w:val="false"/>
                  <w:color w:val="000080"/>
                  <w:sz w:val="20"/>
                  <w:u w:val="single"/>
                </w:rPr>
                <w:t xml:space="preserve"> to that certain </w:t>
              </w:r>
            </w:hyperlink>
            <w:hyperlink w:anchor="ex101employmentagmtamendme.htm">
              <w:r>
                <w:rPr>
                  <w:rStyle w:val="InternetLink"/>
                  <w:rFonts w:ascii="Times New Roman;serif" w:hAnsi="Times New Roman;serif"/>
                  <w:b w:val="false"/>
                  <w:color w:val="000080"/>
                  <w:sz w:val="20"/>
                  <w:u w:val="single"/>
                </w:rPr>
                <w:t>Amended and Restated Employment Agreement, dated October 22, 2021, between Context Therapeutics Inc. and Martin Lehr</w:t>
              </w:r>
            </w:hyperlink>
            <w:hyperlink w:anchor="ex101employmentagmtamendme.htm">
              <w:r>
                <w:rPr>
                  <w:rStyle w:val="InternetLink"/>
                  <w:rFonts w:ascii="Times New Roman;serif" w:hAnsi="Times New Roman;serif"/>
                  <w:b w:val="false"/>
                  <w:color w:val="000080"/>
                  <w:sz w:val="20"/>
                  <w:u w:val="single"/>
                </w:rPr>
                <w:t>.</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951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102employmentagmtamendme.htm">
              <w:r>
                <w:rPr>
                  <w:rStyle w:val="InternetLink"/>
                  <w:rFonts w:ascii="Times New Roman;serif" w:hAnsi="Times New Roman;serif"/>
                  <w:b w:val="false"/>
                  <w:color w:val="000080"/>
                  <w:sz w:val="20"/>
                  <w:u w:val="single"/>
                </w:rPr>
                <w:t xml:space="preserve">Amendment No. 1, dated August </w:t>
              </w:r>
            </w:hyperlink>
            <w:hyperlink w:anchor="ex102employmentagmtamendme.htm">
              <w:r>
                <w:rPr>
                  <w:rStyle w:val="InternetLink"/>
                  <w:rFonts w:ascii="Times New Roman;serif" w:hAnsi="Times New Roman;serif"/>
                  <w:b w:val="false"/>
                  <w:color w:val="000080"/>
                  <w:sz w:val="20"/>
                  <w:u w:val="single"/>
                </w:rPr>
                <w:t>4</w:t>
              </w:r>
            </w:hyperlink>
            <w:hyperlink w:anchor="ex102employmentagmtamendme.htm">
              <w:r>
                <w:rPr>
                  <w:rStyle w:val="InternetLink"/>
                  <w:rFonts w:ascii="Times New Roman;serif" w:hAnsi="Times New Roman;serif"/>
                  <w:b w:val="false"/>
                  <w:color w:val="000080"/>
                  <w:sz w:val="20"/>
                  <w:u w:val="single"/>
                </w:rPr>
                <w:t xml:space="preserve">, 2026, to that certain Employment Agreement, dated November 1, 2021, between Context Therapeutics Inc. and Jennifer Minai-Azary. </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951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103employmentagmtamendme.htm">
              <w:r>
                <w:rPr>
                  <w:rStyle w:val="InternetLink"/>
                  <w:rFonts w:ascii="Times New Roman;serif" w:hAnsi="Times New Roman;serif"/>
                  <w:b w:val="false"/>
                  <w:color w:val="000080"/>
                  <w:sz w:val="20"/>
                  <w:u w:val="single"/>
                </w:rPr>
                <w:t xml:space="preserve">Amendment No. 1, dated August </w:t>
              </w:r>
            </w:hyperlink>
            <w:hyperlink w:anchor="ex103employmentagmtamendme.htm">
              <w:r>
                <w:rPr>
                  <w:rStyle w:val="InternetLink"/>
                  <w:rFonts w:ascii="Times New Roman;serif" w:hAnsi="Times New Roman;serif"/>
                  <w:b w:val="false"/>
                  <w:color w:val="000080"/>
                  <w:sz w:val="20"/>
                  <w:u w:val="single"/>
                </w:rPr>
                <w:t>4</w:t>
              </w:r>
            </w:hyperlink>
            <w:hyperlink w:anchor="ex103employmentagmtamendme.htm">
              <w:r>
                <w:rPr>
                  <w:rStyle w:val="InternetLink"/>
                  <w:rFonts w:ascii="Times New Roman;serif" w:hAnsi="Times New Roman;serif"/>
                  <w:b w:val="false"/>
                  <w:color w:val="000080"/>
                  <w:sz w:val="20"/>
                  <w:u w:val="single"/>
                </w:rPr>
                <w:t xml:space="preserve">, 2026, to that certain </w:t>
              </w:r>
            </w:hyperlink>
            <w:hyperlink w:anchor="ex103employmentagmtamendme.htm">
              <w:r>
                <w:rPr>
                  <w:rStyle w:val="InternetLink"/>
                  <w:rFonts w:ascii="Times New Roman;serif" w:hAnsi="Times New Roman;serif"/>
                  <w:b w:val="false"/>
                  <w:color w:val="000080"/>
                  <w:sz w:val="20"/>
                  <w:u w:val="single"/>
                </w:rPr>
                <w:t>Employment Agreement, dated October 22, 2021, between Context Therapeutics Inc. and Alex Levit</w:t>
              </w:r>
            </w:hyperlink>
            <w:hyperlink w:anchor="ex103employmentagmtamendme.htm">
              <w:r>
                <w:rPr>
                  <w:rStyle w:val="InternetLink"/>
                  <w:rFonts w:ascii="Times New Roman;serif" w:hAnsi="Times New Roman;serif"/>
                  <w:b w:val="false"/>
                  <w:color w:val="000080"/>
                  <w:sz w:val="20"/>
                  <w:u w:val="single"/>
                </w:rPr>
                <w:t>.</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951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104employmentagmtamendme.htm">
              <w:r>
                <w:rPr>
                  <w:rStyle w:val="InternetLink"/>
                  <w:rFonts w:ascii="Times New Roman;serif" w:hAnsi="Times New Roman;serif"/>
                  <w:b w:val="false"/>
                  <w:color w:val="000080"/>
                  <w:sz w:val="20"/>
                  <w:u w:val="single"/>
                </w:rPr>
                <w:t xml:space="preserve">Amendment No. 1, dated August </w:t>
              </w:r>
            </w:hyperlink>
            <w:hyperlink w:anchor="ex104employmentagmtamendme.htm">
              <w:r>
                <w:rPr>
                  <w:rStyle w:val="InternetLink"/>
                  <w:rFonts w:ascii="Times New Roman;serif" w:hAnsi="Times New Roman;serif"/>
                  <w:b w:val="false"/>
                  <w:color w:val="000080"/>
                  <w:sz w:val="20"/>
                  <w:u w:val="single"/>
                </w:rPr>
                <w:t>4</w:t>
              </w:r>
            </w:hyperlink>
            <w:hyperlink w:anchor="ex104employmentagmtamendme.htm">
              <w:r>
                <w:rPr>
                  <w:rStyle w:val="InternetLink"/>
                  <w:rFonts w:ascii="Times New Roman;serif" w:hAnsi="Times New Roman;serif"/>
                  <w:b w:val="false"/>
                  <w:color w:val="000080"/>
                  <w:sz w:val="20"/>
                  <w:u w:val="single"/>
                </w:rPr>
                <w:t>, 2026, to that certain Employment Agreement, dated June 9, 2025, between Context Therapeutics Inc. and Karen Chagin, M.D.</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951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17">
              <w:r>
                <w:rPr>
                  <w:rStyle w:val="InternetLink"/>
                  <w:rFonts w:ascii="Times New Roman;serif" w:hAnsi="Times New Roman;serif"/>
                  <w:b w:val="false"/>
                  <w:color w:val="000080"/>
                  <w:sz w:val="20"/>
                  <w:u w:val="single"/>
                </w:rPr>
                <w:t>First Amendment to License Agreement, dated May 14, 2026, by and between the Company and BioAtla, Inc.</w:t>
              </w:r>
            </w:hyperlink>
            <w:hyperlink r:id="rId18">
              <w:r>
                <w:rPr>
                  <w:rStyle w:val="InternetLink"/>
                  <w:rFonts w:ascii="Times New Roman;serif" w:hAnsi="Times New Roman;serif"/>
                  <w:b w:val="false"/>
                  <w:color w:val="000080"/>
                  <w:sz w:val="20"/>
                  <w:u w:val="single"/>
                </w:rPr>
                <w:t xml:space="preserve"> </w:t>
              </w:r>
            </w:hyperlink>
            <w:hyperlink r:id="rId19">
              <w:r>
                <w:rPr>
                  <w:rStyle w:val="InternetLink"/>
                  <w:rFonts w:ascii="Times New Roman;serif" w:hAnsi="Times New Roman;serif"/>
                  <w:b w:val="false"/>
                  <w:color w:val="000080"/>
                  <w:sz w:val="20"/>
                  <w:u w:val="single"/>
                </w:rPr>
                <w:t xml:space="preserve">(incorporated by reference to Exhibit 10.1 to the Company’s </w:t>
              </w:r>
            </w:hyperlink>
            <w:hyperlink r:id="rId20">
              <w:r>
                <w:rPr>
                  <w:rStyle w:val="InternetLink"/>
                  <w:rFonts w:ascii="Times New Roman;serif" w:hAnsi="Times New Roman;serif"/>
                  <w:b w:val="false"/>
                  <w:color w:val="000080"/>
                  <w:sz w:val="20"/>
                  <w:u w:val="single"/>
                </w:rPr>
                <w:t>Current Report</w:t>
              </w:r>
            </w:hyperlink>
            <w:hyperlink r:id="rId21">
              <w:r>
                <w:rPr>
                  <w:rStyle w:val="InternetLink"/>
                  <w:rFonts w:ascii="Times New Roman;serif" w:hAnsi="Times New Roman;serif"/>
                  <w:b w:val="false"/>
                  <w:color w:val="000080"/>
                  <w:sz w:val="20"/>
                  <w:u w:val="single"/>
                </w:rPr>
                <w:t xml:space="preserve"> </w:t>
              </w:r>
            </w:hyperlink>
            <w:hyperlink r:id="rId22">
              <w:r>
                <w:rPr>
                  <w:rStyle w:val="InternetLink"/>
                  <w:rFonts w:ascii="Times New Roman;serif" w:hAnsi="Times New Roman;serif"/>
                  <w:b w:val="false"/>
                  <w:color w:val="000080"/>
                  <w:sz w:val="20"/>
                  <w:u w:val="single"/>
                </w:rPr>
                <w:t xml:space="preserve">on Form </w:t>
              </w:r>
            </w:hyperlink>
            <w:hyperlink r:id="rId23">
              <w:r>
                <w:rPr>
                  <w:rStyle w:val="InternetLink"/>
                  <w:rFonts w:ascii="Times New Roman;serif" w:hAnsi="Times New Roman;serif"/>
                  <w:b w:val="false"/>
                  <w:color w:val="000080"/>
                  <w:sz w:val="20"/>
                  <w:u w:val="single"/>
                </w:rPr>
                <w:t>8-K</w:t>
              </w:r>
            </w:hyperlink>
            <w:hyperlink r:id="rId24">
              <w:r>
                <w:rPr>
                  <w:rStyle w:val="InternetLink"/>
                  <w:rFonts w:ascii="Times New Roman;serif" w:hAnsi="Times New Roman;serif"/>
                  <w:b w:val="false"/>
                  <w:color w:val="000080"/>
                  <w:sz w:val="20"/>
                  <w:u w:val="single"/>
                </w:rPr>
                <w:t xml:space="preserve"> </w:t>
              </w:r>
            </w:hyperlink>
            <w:hyperlink r:id="rId25">
              <w:r>
                <w:rPr>
                  <w:rStyle w:val="InternetLink"/>
                  <w:rFonts w:ascii="Times New Roman;serif" w:hAnsi="Times New Roman;serif"/>
                  <w:b w:val="false"/>
                  <w:color w:val="000080"/>
                  <w:sz w:val="20"/>
                  <w:u w:val="single"/>
                </w:rPr>
                <w:t>(File No.</w:t>
              </w:r>
            </w:hyperlink>
            <w:hyperlink r:id="rId26">
              <w:r>
                <w:rPr>
                  <w:rStyle w:val="InternetLink"/>
                  <w:rFonts w:ascii="Times New Roman;serif" w:hAnsi="Times New Roman;serif"/>
                  <w:b w:val="false"/>
                  <w:color w:val="000080"/>
                  <w:sz w:val="20"/>
                  <w:u w:val="single"/>
                </w:rPr>
                <w:t xml:space="preserve"> </w:t>
              </w:r>
            </w:hyperlink>
            <w:hyperlink r:id="rId27">
              <w:r>
                <w:rPr>
                  <w:rStyle w:val="InternetLink"/>
                  <w:rFonts w:ascii="Times New Roman;serif" w:hAnsi="Times New Roman;serif"/>
                  <w:b w:val="false"/>
                  <w:color w:val="000080"/>
                  <w:sz w:val="20"/>
                  <w:u w:val="single"/>
                </w:rPr>
                <w:t>001-40654</w:t>
              </w:r>
            </w:hyperlink>
            <w:hyperlink r:id="rId28">
              <w:r>
                <w:rPr>
                  <w:rStyle w:val="InternetLink"/>
                  <w:rFonts w:ascii="Times New Roman;serif" w:hAnsi="Times New Roman;serif"/>
                  <w:b w:val="false"/>
                  <w:color w:val="000080"/>
                  <w:sz w:val="20"/>
                  <w:u w:val="single"/>
                </w:rPr>
                <w:t xml:space="preserve">), as filed with the SEC on May </w:t>
              </w:r>
            </w:hyperlink>
            <w:hyperlink r:id="rId29">
              <w:r>
                <w:rPr>
                  <w:rStyle w:val="InternetLink"/>
                  <w:rFonts w:ascii="Times New Roman;serif" w:hAnsi="Times New Roman;serif"/>
                  <w:b w:val="false"/>
                  <w:color w:val="000080"/>
                  <w:sz w:val="20"/>
                  <w:u w:val="single"/>
                </w:rPr>
                <w:t>18</w:t>
              </w:r>
            </w:hyperlink>
            <w:hyperlink r:id="rId30">
              <w:r>
                <w:rPr>
                  <w:rStyle w:val="InternetLink"/>
                  <w:rFonts w:ascii="Times New Roman;serif" w:hAnsi="Times New Roman;serif"/>
                  <w:b w:val="false"/>
                  <w:color w:val="000080"/>
                  <w:sz w:val="20"/>
                  <w:u w:val="single"/>
                </w:rPr>
                <w:t>, 202</w:t>
              </w:r>
            </w:hyperlink>
            <w:hyperlink r:id="rId31">
              <w:r>
                <w:rPr>
                  <w:rStyle w:val="InternetLink"/>
                  <w:rFonts w:ascii="Times New Roman;serif" w:hAnsi="Times New Roman;serif"/>
                  <w:b w:val="false"/>
                  <w:color w:val="000080"/>
                  <w:sz w:val="20"/>
                  <w:u w:val="single"/>
                </w:rPr>
                <w:t>6</w:t>
              </w:r>
            </w:hyperlink>
            <w:hyperlink r:id="rId32">
              <w:r>
                <w:rPr>
                  <w:rStyle w:val="InternetLink"/>
                  <w:rFonts w:ascii="Times New Roman;serif" w:hAnsi="Times New Roman;serif"/>
                  <w:b w:val="false"/>
                  <w:color w:val="000080"/>
                  <w:sz w:val="20"/>
                  <w:u w:val="single"/>
                </w:rPr>
                <w:t>).</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951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cntx2026-063010xqexhibit311.htm">
              <w:r>
                <w:rPr>
                  <w:rStyle w:val="InternetLink"/>
                  <w:rFonts w:ascii="Times New Roman;serif" w:hAnsi="Times New Roman;serif"/>
                  <w:b w:val="false"/>
                  <w:color w:val="000080"/>
                  <w:sz w:val="20"/>
                  <w:u w:val="single"/>
                </w:rPr>
                <w:t>Certification of Chief Executive Officer pursuant to Rule 13a-14(a) or 15</w:t>
              </w:r>
            </w:hyperlink>
            <w:hyperlink w:anchor="cntx2026-063010xqexhibit311.htm">
              <w:r>
                <w:rPr>
                  <w:rStyle w:val="InternetLink"/>
                  <w:rFonts w:ascii="Times New Roman;serif" w:hAnsi="Times New Roman;serif"/>
                  <w:b w:val="false"/>
                  <w:color w:val="000080"/>
                  <w:sz w:val="20"/>
                  <w:u w:val="single"/>
                </w:rPr>
                <w:t>d</w:t>
              </w:r>
            </w:hyperlink>
            <w:hyperlink w:anchor="cntx2026-063010xqexhibit311.htm">
              <w:r>
                <w:rPr>
                  <w:rStyle w:val="InternetLink"/>
                  <w:rFonts w:ascii="Times New Roman;serif" w:hAnsi="Times New Roman;serif"/>
                  <w:b w:val="false"/>
                  <w:color w:val="000080"/>
                  <w:sz w:val="20"/>
                  <w:u w:val="single"/>
                </w:rPr>
                <w:t>-14(a) under the Exchange Act.</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951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cntx2026063010-qexhibit312.htm">
              <w:r>
                <w:rPr>
                  <w:rStyle w:val="InternetLink"/>
                  <w:rFonts w:ascii="Times New Roman;serif" w:hAnsi="Times New Roman;serif"/>
                  <w:b w:val="false"/>
                  <w:color w:val="000080"/>
                  <w:sz w:val="20"/>
                  <w:u w:val="single"/>
                </w:rPr>
                <w:t>Certification of Chief Financial Officer pursuant to Rule 13a-14(a) or 15</w:t>
              </w:r>
            </w:hyperlink>
            <w:hyperlink w:anchor="cntx2026063010-qexhibit312.htm">
              <w:r>
                <w:rPr>
                  <w:rStyle w:val="InternetLink"/>
                  <w:rFonts w:ascii="Times New Roman;serif" w:hAnsi="Times New Roman;serif"/>
                  <w:b w:val="false"/>
                  <w:color w:val="000080"/>
                  <w:sz w:val="20"/>
                  <w:u w:val="single"/>
                </w:rPr>
                <w:t>d</w:t>
              </w:r>
            </w:hyperlink>
            <w:hyperlink w:anchor="cntx2026063010-qexhibit312.htm">
              <w:r>
                <w:rPr>
                  <w:rStyle w:val="InternetLink"/>
                  <w:rFonts w:ascii="Times New Roman;serif" w:hAnsi="Times New Roman;serif"/>
                  <w:b w:val="false"/>
                  <w:color w:val="000080"/>
                  <w:sz w:val="20"/>
                  <w:u w:val="single"/>
                </w:rPr>
                <w:t>-14(a) under the Exchange Act.</w:t>
              </w:r>
            </w:hyperlink>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951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cntx2026063010-qexhibit321.htm">
              <w:r>
                <w:rPr>
                  <w:rStyle w:val="InternetLink"/>
                  <w:rFonts w:ascii="Times New Roman;serif" w:hAnsi="Times New Roman;serif"/>
                  <w:b w:val="false"/>
                  <w:color w:val="0000FF"/>
                  <w:sz w:val="20"/>
                  <w:u w:val="single"/>
                </w:rPr>
                <w:t>Certification Pursuant to 18 U.S.C. Section 1350 of principal executive officer and principal financial officer.</w:t>
              </w:r>
            </w:hyperlink>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95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portions of Context Therapeutics Inc.’s Quarterly Report on Form 10-Q for the fiscal quarter ended June 30, 2026, formatted in Inline XBRL (eXtensible Business Reporting Language): (i) Condensed Consolidated Balance Sheets; (ii) Condensed Consolidated Statements of Operations; (iii) Condensed Consolidated Statements of Changes in Stockholders’ Equity; (iv) Condensed Consolidated Statements of Cash Flows; (v) Notes to the Unaudited Condensed Consolidated Financial Statements; and (vi) the information under Part II, Item 5, "Other Information."</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95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 hereto)</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*Filed herewith </w:t>
      </w:r>
    </w:p>
    <w:p>
      <w:pPr>
        <w:pStyle w:val="TextBody"/>
        <w:bidi w:val="0"/>
        <w:spacing w:lineRule="auto" w:line="268" w:before="0" w:after="120"/>
        <w:jc w:val="left"/>
        <w:rPr/>
      </w:pPr>
      <w:r>
        <w:rPr>
          <w:color w:val="000000"/>
        </w:rPr>
        <w:t>†</w:t>
      </w:r>
      <w:r>
        <w:rPr>
          <w:rFonts w:ascii="Times New Roman;serif" w:hAnsi="Times New Roman;serif"/>
          <w:b w:val="false"/>
          <w:color w:val="000000"/>
          <w:sz w:val="20"/>
        </w:rPr>
        <w:t>Management contract or compensatory plan</w:t>
      </w:r>
    </w:p>
    <w:p>
      <w:pPr>
        <w:pStyle w:val="TextBody"/>
        <w:bidi w:val="0"/>
        <w:spacing w:lineRule="auto" w:line="26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Certain schedules to this agreement have been omitted in accordance with Item 601(a)(5) of Regulation S-K. A copy of any omitted schedules will be furnished supplementally to the SEC upon request.</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This certification is being furnished pursuant to 18 U.S.C. Section 1350 and is not being filed for purposes of Section 18 of the Exchange Act, and is not to be incorporated by reference into any filing of the Company, whether made before or after the date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0" w:after="0"/>
        <w:jc w:val="left"/>
        <w:rPr/>
      </w:pPr>
      <w:hyperlink w:anchor="i1c19ff4c200048778457d4b9ac6d27e9_7">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0" w:after="0"/>
        <w:ind w:left="0" w:right="0" w:firstLine="180"/>
        <w:jc w:val="left"/>
        <w:rPr>
          <w:color w:val="000000"/>
        </w:rPr>
      </w:pPr>
      <w:r>
        <w:rPr>
          <w:color w:val="000000"/>
        </w:rPr>
        <w:t> </w:t>
      </w:r>
    </w:p>
    <w:p>
      <w:pPr>
        <w:pStyle w:val="TextBody"/>
        <w:bidi w:val="0"/>
        <w:spacing w:lineRule="auto" w:line="333" w:before="0" w:after="0"/>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lineRule="auto" w:line="333" w:before="0" w:after="0"/>
        <w:ind w:left="0" w:right="0" w:firstLine="180"/>
        <w:jc w:val="left"/>
        <w:rPr>
          <w:color w:val="000000"/>
        </w:rPr>
      </w:pPr>
      <w:r>
        <w:rPr>
          <w:color w:val="000000"/>
        </w:rPr>
        <w:t> </w:t>
      </w:r>
    </w:p>
    <w:p>
      <w:pPr>
        <w:pStyle w:val="TextBody"/>
        <w:bidi w:val="0"/>
        <w:spacing w:lineRule="auto" w:line="333"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p>
      <w:pPr>
        <w:pStyle w:val="TextBody"/>
        <w:bidi w:val="0"/>
        <w:spacing w:lineRule="auto" w:line="333" w:before="0" w:after="100"/>
        <w:ind w:left="0" w:right="0" w:firstLine="180"/>
        <w:jc w:val="left"/>
        <w:rPr>
          <w:color w:val="000000"/>
        </w:rPr>
      </w:pPr>
      <w:r>
        <w:rPr>
          <w:color w:val="000000"/>
        </w:rPr>
        <w:t> </w:t>
      </w:r>
    </w:p>
    <w:tbl>
      <w:tblPr>
        <w:tblW w:w="941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2335"/>
        <w:gridCol w:w="2335"/>
        <w:gridCol w:w="2335"/>
        <w:gridCol w:w="486"/>
        <w:gridCol w:w="486"/>
        <w:gridCol w:w="6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5"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CONTEXT THERAPEUTICS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05"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/s/ Martin Lehr</w:t>
            </w:r>
          </w:p>
        </w:tc>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Martin Lehr</w:t>
            </w:r>
          </w:p>
        </w:tc>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 (Principal Executive Officer)</w:t>
            </w:r>
          </w:p>
        </w:tc>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Jennifer Minai-Azary</w:t>
            </w:r>
          </w:p>
        </w:tc>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Jennifer Minai-Azary</w:t>
            </w:r>
          </w:p>
        </w:tc>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 and Principal Accounting Officer)</w:t>
            </w:r>
          </w:p>
        </w:tc>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7" w:before="0" w:after="0"/>
        <w:jc w:val="right"/>
        <w:rPr>
          <w:rFonts w:ascii="Times New Roman;serif" w:hAnsi="Times New Roman;serif"/>
          <w:b w:val="false"/>
          <w:color w:val="000000"/>
          <w:sz w:val="20"/>
        </w:rPr>
      </w:pPr>
      <w:r>
        <w:rPr>
          <w:rFonts w:ascii="Times New Roman;serif" w:hAnsi="Times New Roman;serif"/>
          <w:b w:val="false"/>
          <w:color w:val="000000"/>
          <w:sz w:val="20"/>
        </w:rPr>
        <w:t>Exhibit 10.1</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307"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FIRST AMENDMENT TO AMENDED AND RESTATED EMPLOYMENT AGREEMENT</w:t>
      </w:r>
    </w:p>
    <w:p>
      <w:pPr>
        <w:pStyle w:val="TextBody"/>
        <w:bidi w:val="0"/>
        <w:spacing w:lineRule="auto" w:line="307" w:before="0" w:after="0"/>
        <w:ind w:left="0" w:right="0" w:firstLine="720"/>
        <w:jc w:val="both"/>
        <w:rPr/>
      </w:pPr>
      <w:r>
        <w:rPr>
          <w:rFonts w:ascii="Times New Roman;serif" w:hAnsi="Times New Roman;serif"/>
          <w:b w:val="false"/>
          <w:color w:val="000000"/>
          <w:sz w:val="22"/>
        </w:rPr>
        <w:t>This FIRST AMENDMENT TO THE AMENDED AND RESTATED EMPLOYMENT AGREEMENT</w:t>
      </w:r>
      <w:r>
        <w:rPr>
          <w:color w:val="000000"/>
        </w:rPr>
        <w:t xml:space="preserve"> </w:t>
      </w:r>
      <w:r>
        <w:rPr>
          <w:rFonts w:ascii="Times New Roman;serif" w:hAnsi="Times New Roman;serif"/>
          <w:b w:val="false"/>
          <w:color w:val="000000"/>
          <w:sz w:val="22"/>
        </w:rPr>
        <w:t>(“</w:t>
      </w:r>
      <w:r>
        <w:rPr>
          <w:rFonts w:ascii="Times New Roman;serif" w:hAnsi="Times New Roman;serif"/>
          <w:b/>
          <w:color w:val="000000"/>
          <w:sz w:val="22"/>
        </w:rPr>
        <w:t>Amendment</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is made and entered into effective as of this 4</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of August, 2026 (“</w:t>
      </w:r>
      <w:r>
        <w:rPr>
          <w:rFonts w:ascii="Times New Roman;serif" w:hAnsi="Times New Roman;serif"/>
          <w:b/>
          <w:color w:val="000000"/>
          <w:sz w:val="22"/>
        </w:rPr>
        <w:t>Effective Date</w:t>
      </w:r>
      <w:r>
        <w:rPr>
          <w:color w:val="000000"/>
        </w:rPr>
        <w:t>”</w:t>
      </w:r>
      <w:r>
        <w:rPr>
          <w:rFonts w:ascii="Times New Roman;serif" w:hAnsi="Times New Roman;serif"/>
          <w:b w:val="false"/>
          <w:color w:val="000000"/>
          <w:sz w:val="22"/>
        </w:rPr>
        <w:t>) by and between Context Therapeutics Inc.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and Martin Lehr (“</w:t>
      </w:r>
      <w:r>
        <w:rPr>
          <w:rFonts w:ascii="Times New Roman;serif" w:hAnsi="Times New Roman;serif"/>
          <w:b/>
          <w:color w:val="000000"/>
          <w:sz w:val="22"/>
        </w:rPr>
        <w:t>Executive</w:t>
      </w:r>
      <w:r>
        <w:rPr>
          <w:color w:val="000000"/>
        </w:rPr>
        <w:t>”</w:t>
      </w:r>
      <w:r>
        <w:rPr>
          <w:rFonts w:ascii="Times New Roman;serif" w:hAnsi="Times New Roman;serif"/>
          <w:b w:val="false"/>
          <w:color w:val="000000"/>
          <w:sz w:val="22"/>
        </w:rPr>
        <w:t>). The Company and Executive are each referred to herein as a “</w:t>
      </w:r>
      <w:r>
        <w:rPr>
          <w:rFonts w:ascii="Times New Roman;serif" w:hAnsi="Times New Roman;serif"/>
          <w:b/>
          <w:color w:val="000000"/>
          <w:sz w:val="22"/>
        </w:rPr>
        <w:t>Party</w:t>
      </w:r>
      <w:r>
        <w:rPr>
          <w:color w:val="000000"/>
        </w:rPr>
        <w:t xml:space="preserve">” </w:t>
      </w:r>
      <w:r>
        <w:rPr>
          <w:rFonts w:ascii="Times New Roman;serif" w:hAnsi="Times New Roman;serif"/>
          <w:b w:val="false"/>
          <w:color w:val="000000"/>
          <w:sz w:val="22"/>
        </w:rPr>
        <w:t>or together as the “</w:t>
      </w:r>
      <w:r>
        <w:rPr>
          <w:rFonts w:ascii="Times New Roman;serif" w:hAnsi="Times New Roman;serif"/>
          <w:b/>
          <w:color w:val="000000"/>
          <w:sz w:val="22"/>
        </w:rPr>
        <w:t>Parties</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307" w:before="0" w:after="0"/>
        <w:jc w:val="both"/>
        <w:rPr/>
      </w:pPr>
      <w:r>
        <w:rPr>
          <w:color w:val="000000"/>
        </w:rPr>
        <w:t>    </w:t>
      </w:r>
      <w:r>
        <w:rPr>
          <w:rFonts w:ascii="Times New Roman;serif" w:hAnsi="Times New Roman;serif"/>
          <w:b w:val="false"/>
          <w:color w:val="000000"/>
          <w:sz w:val="22"/>
        </w:rPr>
        <w:t>WHEREAS, the Company and Executive are parties to an amended and restated employment agreement dated October 22, 2021 (the “</w:t>
      </w:r>
      <w:r>
        <w:rPr>
          <w:rFonts w:ascii="Times New Roman;serif" w:hAnsi="Times New Roman;serif"/>
          <w:b/>
          <w:color w:val="000000"/>
          <w:sz w:val="22"/>
        </w:rPr>
        <w:t>Employment Agreement</w:t>
      </w:r>
      <w:r>
        <w:rPr>
          <w:color w:val="000000"/>
        </w:rPr>
        <w:t>”</w:t>
      </w:r>
      <w:r>
        <w:rPr>
          <w:rFonts w:ascii="Times New Roman;serif" w:hAnsi="Times New Roman;serif"/>
          <w:b w:val="false"/>
          <w:color w:val="000000"/>
          <w:sz w:val="22"/>
        </w:rPr>
        <w:t>); and</w:t>
      </w:r>
    </w:p>
    <w:p>
      <w:pPr>
        <w:pStyle w:val="TextBody"/>
        <w:bidi w:val="0"/>
        <w:spacing w:before="0" w:after="0"/>
        <w:jc w:val="both"/>
        <w:rPr/>
      </w:pPr>
      <w:r>
        <w:rPr/>
      </w:r>
    </w:p>
    <w:p>
      <w:pPr>
        <w:pStyle w:val="TextBody"/>
        <w:bidi w:val="0"/>
        <w:spacing w:lineRule="auto" w:line="307" w:before="0" w:after="0"/>
        <w:jc w:val="both"/>
        <w:rPr>
          <w:color w:val="000000"/>
        </w:rPr>
      </w:pPr>
      <w:r>
        <w:rPr>
          <w:color w:val="000000"/>
        </w:rPr>
        <w:t>    </w:t>
      </w:r>
      <w:r>
        <w:rPr>
          <w:rFonts w:ascii="Times New Roman;serif" w:hAnsi="Times New Roman;serif"/>
          <w:b w:val="false"/>
          <w:color w:val="000000"/>
          <w:sz w:val="22"/>
        </w:rPr>
        <w:t>WHEREAS, the Parties wish to amend the Employment Agreement with this Amendment.</w:t>
      </w:r>
    </w:p>
    <w:p>
      <w:pPr>
        <w:pStyle w:val="TextBody"/>
        <w:bidi w:val="0"/>
        <w:spacing w:before="0" w:after="0"/>
        <w:jc w:val="both"/>
        <w:rPr/>
      </w:pPr>
      <w:r>
        <w:rPr/>
      </w:r>
    </w:p>
    <w:p>
      <w:pPr>
        <w:pStyle w:val="TextBody"/>
        <w:bidi w:val="0"/>
        <w:spacing w:lineRule="auto" w:line="307"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covenants contained and incorporated herein and other good and valuable consideration, the receipt and sufficiency of which are hereby acknowledged, the Parties, intending to be legally bound, hereby expressly covenant and agree as follows:</w:t>
      </w:r>
    </w:p>
    <w:p>
      <w:pPr>
        <w:pStyle w:val="TextBody"/>
        <w:bidi w:val="0"/>
        <w:spacing w:lineRule="auto" w:line="307" w:before="0" w:after="240"/>
        <w:jc w:val="both"/>
        <w:rPr/>
      </w:pPr>
      <w:r>
        <w:rPr>
          <w:rFonts w:ascii="Times New Roman;serif" w:hAnsi="Times New Roman;serif"/>
          <w:b/>
          <w:color w:val="000000"/>
          <w:sz w:val="24"/>
        </w:rPr>
        <w:t>1.</w:t>
      </w:r>
      <w:r>
        <w:rPr>
          <w:rFonts w:ascii="Times New Roman;serif" w:hAnsi="Times New Roman;serif"/>
          <w:b/>
          <w:color w:val="000000"/>
          <w:sz w:val="22"/>
          <w:u w:val="single"/>
        </w:rPr>
        <w:t>Definitions</w:t>
      </w:r>
      <w:r>
        <w:rPr>
          <w:rFonts w:ascii="Times New Roman;serif" w:hAnsi="Times New Roman;serif"/>
          <w:b w:val="false"/>
          <w:color w:val="000000"/>
          <w:sz w:val="22"/>
        </w:rPr>
        <w:t>. Capitalized terms used herein and not otherwise defined herein shall have the meanings ascribed thereto in the Employment Agreement.</w:t>
      </w:r>
    </w:p>
    <w:p>
      <w:pPr>
        <w:pStyle w:val="TextBody"/>
        <w:bidi w:val="0"/>
        <w:spacing w:lineRule="auto" w:line="307" w:before="0" w:after="240"/>
        <w:jc w:val="both"/>
        <w:rPr/>
      </w:pPr>
      <w:r>
        <w:rPr>
          <w:rFonts w:ascii="Times New Roman;serif" w:hAnsi="Times New Roman;serif"/>
          <w:b/>
          <w:color w:val="000000"/>
          <w:sz w:val="24"/>
        </w:rPr>
        <w:t>2.</w:t>
      </w:r>
      <w:r>
        <w:rPr>
          <w:rFonts w:ascii="Times New Roman;serif" w:hAnsi="Times New Roman;serif"/>
          <w:b/>
          <w:color w:val="000000"/>
          <w:sz w:val="22"/>
          <w:u w:val="single"/>
        </w:rPr>
        <w:t>Termination</w:t>
      </w:r>
      <w:r>
        <w:rPr>
          <w:rFonts w:ascii="Times New Roman;serif" w:hAnsi="Times New Roman;serif"/>
          <w:b/>
          <w:color w:val="000000"/>
          <w:sz w:val="22"/>
        </w:rPr>
        <w:t xml:space="preserve">. </w:t>
      </w:r>
      <w:r>
        <w:rPr>
          <w:rFonts w:ascii="Times New Roman;serif" w:hAnsi="Times New Roman;serif"/>
          <w:b w:val="false"/>
          <w:color w:val="000000"/>
          <w:sz w:val="22"/>
        </w:rPr>
        <w:t>The lead-in language to Section 4(d) is deleted in its entirety and is replaced as follows.</w:t>
      </w:r>
      <w:r>
        <w:rPr>
          <w:color w:val="000000"/>
        </w:rPr>
        <w:t xml:space="preserve"> </w:t>
      </w:r>
    </w:p>
    <w:p>
      <w:pPr>
        <w:pStyle w:val="TextBody"/>
        <w:bidi w:val="0"/>
        <w:spacing w:lineRule="auto" w:line="307" w:before="0" w:after="240"/>
        <w:ind w:left="0" w:right="0" w:firstLine="1440"/>
        <w:jc w:val="both"/>
        <w:rPr/>
      </w:pPr>
      <w:r>
        <w:rPr>
          <w:rFonts w:ascii="Times New Roman;serif" w:hAnsi="Times New Roman;serif"/>
          <w:b/>
          <w:color w:val="000000"/>
          <w:sz w:val="24"/>
        </w:rPr>
        <w:t>(d)</w:t>
      </w:r>
      <w:r>
        <w:rPr>
          <w:rFonts w:ascii="Times New Roman;serif" w:hAnsi="Times New Roman;serif"/>
          <w:b/>
          <w:color w:val="000000"/>
          <w:sz w:val="22"/>
          <w:u w:val="single"/>
        </w:rPr>
        <w:t>Termination Upon a Change in Control</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Notwithstanding Section 4(c) above, and in lieu of any payment owed under Section 4(c), if any, in the event that the Company (or its successor) terminates the Executive without Cause or the Executive resigns from employment with the Company for Good Reason, in each case upon a Change in Control (as such terms are defined below) or within either the three (3) month period prior to the Change in Control or the twelve (12) month period following the Change in Control, then Executive</w:t>
      </w:r>
      <w:r>
        <w:rPr>
          <w:color w:val="000000"/>
        </w:rPr>
        <w:t xml:space="preserve"> </w:t>
      </w:r>
      <w:r>
        <w:rPr>
          <w:rFonts w:ascii="Times New Roman;serif" w:hAnsi="Times New Roman;serif"/>
          <w:b w:val="false"/>
          <w:color w:val="000000"/>
          <w:sz w:val="22"/>
        </w:rPr>
        <w:t>shall be entitled to the following:</w:t>
      </w:r>
    </w:p>
    <w:p>
      <w:pPr>
        <w:pStyle w:val="TextBody"/>
        <w:bidi w:val="0"/>
        <w:spacing w:lineRule="auto" w:line="307" w:before="0" w:after="240"/>
        <w:jc w:val="both"/>
        <w:rPr/>
      </w:pPr>
      <w:r>
        <w:rPr>
          <w:rFonts w:ascii="Times New Roman;serif" w:hAnsi="Times New Roman;serif"/>
          <w:b/>
          <w:color w:val="000000"/>
          <w:sz w:val="24"/>
        </w:rPr>
        <w:t>1.</w:t>
      </w:r>
      <w:r>
        <w:rPr>
          <w:rFonts w:ascii="Times New Roman;serif" w:hAnsi="Times New Roman;serif"/>
          <w:b/>
          <w:color w:val="000000"/>
          <w:sz w:val="22"/>
          <w:u w:val="single"/>
        </w:rPr>
        <w:t>Post-Termination Medical, Vision and Dental Benefits</w:t>
      </w:r>
      <w:r>
        <w:rPr>
          <w:rFonts w:ascii="Times New Roman;serif" w:hAnsi="Times New Roman;serif"/>
          <w:b/>
          <w:color w:val="000000"/>
          <w:sz w:val="22"/>
        </w:rPr>
        <w:t xml:space="preserve">. </w:t>
      </w:r>
      <w:r>
        <w:rPr>
          <w:rFonts w:ascii="Times New Roman;serif" w:hAnsi="Times New Roman;serif"/>
          <w:b w:val="false"/>
          <w:color w:val="000000"/>
          <w:sz w:val="22"/>
        </w:rPr>
        <w:t>Section 4(g) is deleted in its entirety and is replaced as follows.</w:t>
      </w:r>
      <w:r>
        <w:rPr>
          <w:color w:val="000000"/>
        </w:rPr>
        <w:t xml:space="preserve"> </w:t>
      </w:r>
    </w:p>
    <w:p>
      <w:pPr>
        <w:pStyle w:val="TextBody"/>
        <w:bidi w:val="0"/>
        <w:spacing w:lineRule="auto" w:line="307" w:before="0" w:after="240"/>
        <w:ind w:left="0" w:right="0" w:firstLine="1440"/>
        <w:jc w:val="both"/>
        <w:rPr/>
      </w:pPr>
      <w:r>
        <w:rPr>
          <w:rFonts w:ascii="Times New Roman;serif" w:hAnsi="Times New Roman;serif"/>
          <w:b/>
          <w:color w:val="000000"/>
          <w:sz w:val="24"/>
        </w:rPr>
        <w:t>(g)</w:t>
      </w:r>
      <w:r>
        <w:rPr>
          <w:rFonts w:ascii="Times New Roman;serif" w:hAnsi="Times New Roman;serif"/>
          <w:b/>
          <w:color w:val="000000"/>
          <w:sz w:val="22"/>
          <w:u w:val="single"/>
        </w:rPr>
        <w:t>Medical, Vision and Dental Benefits</w:t>
      </w:r>
      <w:r>
        <w:rPr>
          <w:rFonts w:ascii="Times New Roman;serif" w:hAnsi="Times New Roman;serif"/>
          <w:b w:val="false"/>
          <w:color w:val="000000"/>
          <w:sz w:val="22"/>
        </w:rPr>
        <w:t xml:space="preserve">. If Executive’s employment is terminated pursuant to </w:t>
      </w:r>
      <w:r>
        <w:rPr>
          <w:rFonts w:ascii="Times New Roman;serif" w:hAnsi="Times New Roman;serif"/>
          <w:b/>
          <w:color w:val="000000"/>
          <w:sz w:val="22"/>
        </w:rPr>
        <w:t>Section 4(b)</w:t>
      </w:r>
      <w:r>
        <w:rPr>
          <w:rFonts w:ascii="Times New Roman;serif" w:hAnsi="Times New Roman;serif"/>
          <w:b w:val="false"/>
          <w:color w:val="000000"/>
          <w:sz w:val="22"/>
        </w:rPr>
        <w:t xml:space="preserve">, </w:t>
      </w:r>
      <w:r>
        <w:rPr>
          <w:rFonts w:ascii="Times New Roman;serif" w:hAnsi="Times New Roman;serif"/>
          <w:b/>
          <w:color w:val="000000"/>
          <w:sz w:val="22"/>
        </w:rPr>
        <w:t>4(c)</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color w:val="000000"/>
          <w:sz w:val="22"/>
        </w:rPr>
        <w:t>4(d)</w:t>
      </w:r>
      <w:r>
        <w:rPr>
          <w:color w:val="000000"/>
        </w:rPr>
        <w:t xml:space="preserve"> </w:t>
      </w:r>
      <w:r>
        <w:rPr>
          <w:rFonts w:ascii="Times New Roman;serif" w:hAnsi="Times New Roman;serif"/>
          <w:b w:val="false"/>
          <w:color w:val="000000"/>
          <w:sz w:val="22"/>
        </w:rPr>
        <w:t xml:space="preserve">above, then, to the extent that Executive or any of Executive’s dependents may be covered under the terms of any medical, vision or dental plans of the Company (or an Affiliate) for active employees immediately prior to the Termination Date and provided Executive is eligible for and elects to continue coverage (under the health care continuation rules of COBRA,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if, on the Termination Date, the Company is not subject to COBRA, the Company shall provide for continuation coverage as if it were subject to COBRA for the entire period to which COBRA would have applied if the Company had been subject to COBRA (collectively for purposes of this Agreement, “</w:t>
      </w:r>
      <w:r>
        <w:rPr>
          <w:rFonts w:ascii="Times New Roman;serif" w:hAnsi="Times New Roman;serif"/>
          <w:b/>
          <w:color w:val="000000"/>
          <w:sz w:val="22"/>
        </w:rPr>
        <w:t>COBRA</w:t>
      </w:r>
      <w:r>
        <w:rPr>
          <w:color w:val="000000"/>
        </w:rPr>
        <w:t>”</w:t>
      </w:r>
      <w:r>
        <w:rPr>
          <w:rFonts w:ascii="Times New Roman;serif" w:hAnsi="Times New Roman;serif"/>
          <w:b w:val="false"/>
          <w:color w:val="000000"/>
          <w:sz w:val="22"/>
        </w:rPr>
        <w:t xml:space="preserve">)), the Company shall provide Executive and those dependents with coverage equivalent to the coverage in effect immediately prior to the applicable Termination Date for a period of up to 12-months following </w:t>
      </w:r>
    </w:p>
    <w:p>
      <w:pPr>
        <w:pStyle w:val="TextBody"/>
        <w:bidi w:val="0"/>
        <w:spacing w:lineRule="auto" w:line="307" w:before="0" w:after="0"/>
        <w:jc w:val="right"/>
        <w:rPr>
          <w:rFonts w:ascii="Times New Roman;serif" w:hAnsi="Times New Roman;serif"/>
          <w:b w:val="false"/>
          <w:color w:val="000000"/>
          <w:sz w:val="20"/>
        </w:rPr>
      </w:pPr>
      <w:r>
        <w:rPr>
          <w:rFonts w:ascii="Times New Roman;serif" w:hAnsi="Times New Roman;serif"/>
          <w:b w:val="false"/>
          <w:color w:val="000000"/>
          <w:sz w:val="20"/>
        </w:rPr>
        <w:t>Exhibit 10.1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07" w:before="0" w:after="240"/>
        <w:jc w:val="both"/>
        <w:rPr/>
      </w:pPr>
      <w:r>
        <w:rPr>
          <w:rFonts w:ascii="Times New Roman;serif" w:hAnsi="Times New Roman;serif"/>
          <w:b w:val="false"/>
          <w:color w:val="000000"/>
          <w:sz w:val="22"/>
        </w:rPr>
        <w:t xml:space="preserve">the Termination Date (or for a period of up to 18-months following a termination pursuant to </w:t>
      </w:r>
      <w:r>
        <w:rPr>
          <w:rFonts w:ascii="Times New Roman;serif" w:hAnsi="Times New Roman;serif"/>
          <w:b/>
          <w:color w:val="000000"/>
          <w:sz w:val="22"/>
        </w:rPr>
        <w:t xml:space="preserve">Section 4(d) </w:t>
      </w:r>
      <w:r>
        <w:rPr>
          <w:rFonts w:ascii="Times New Roman;serif" w:hAnsi="Times New Roman;serif"/>
          <w:b w:val="false"/>
          <w:color w:val="000000"/>
          <w:sz w:val="22"/>
        </w:rPr>
        <w:t>above), such that Executive shall be required to pay, on a monthly after-tax basis, the same amount as Executive would pay if Executive continued in employment with the Company during such period (“</w:t>
      </w:r>
      <w:r>
        <w:rPr>
          <w:rFonts w:ascii="Times New Roman;serif" w:hAnsi="Times New Roman;serif"/>
          <w:b/>
          <w:color w:val="000000"/>
          <w:sz w:val="22"/>
        </w:rPr>
        <w:t>Subsidized Coverage</w:t>
      </w:r>
      <w:r>
        <w:rPr>
          <w:color w:val="000000"/>
        </w:rPr>
        <w:t>”</w:t>
      </w:r>
      <w:r>
        <w:rPr>
          <w:rFonts w:ascii="Times New Roman;serif" w:hAnsi="Times New Roman;serif"/>
          <w:b w:val="false"/>
          <w:color w:val="000000"/>
          <w:sz w:val="22"/>
        </w:rPr>
        <w:t xml:space="preserve">) and the Company’s portion of the cost of the Subsidized Coverage will be treated as taxable income to Executive, and thereafter Executive shall be responsible for the full cost of such continued coverage;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Subsidized Coverage shall be provided as described above unless the Company determines, based on a written legal opinion of counsel, that the Company’s provision of Subsidized Coverage results in the violation of non-discrimination provisions of applicable law, as may be applicable to the Company, the imposition of a material additional tax or other material penalty being imposed on the Company (or an Affiliate) or any employee participating in such plans. If the Company makes such a determination, then the Company shall pay Executive an additional severance benefit equal to the cost to the Company of the Subsidized Coverage (had such Subsidized coverage been provided) to assist Executive with the cost of COBRA or, if not available, to assist Executive with the cost of comparable coverage for Executive and his eligible dependents. In the event Executive or any of Executive’s dependents is or becomes eligible for coverage under the terms of any other medical and/or dental plan of a subsequent employer with plan benefits that are comparable to Company (or Affiliate) plan benefits, the Company’s and its Affiliates’ obligations under this </w:t>
      </w:r>
      <w:r>
        <w:rPr>
          <w:rFonts w:ascii="Times New Roman;serif" w:hAnsi="Times New Roman;serif"/>
          <w:b/>
          <w:color w:val="000000"/>
          <w:sz w:val="22"/>
        </w:rPr>
        <w:t>Section 4(g)</w:t>
      </w:r>
      <w:r>
        <w:rPr>
          <w:color w:val="000000"/>
        </w:rPr>
        <w:t xml:space="preserve"> </w:t>
      </w:r>
      <w:r>
        <w:rPr>
          <w:rFonts w:ascii="Times New Roman;serif" w:hAnsi="Times New Roman;serif"/>
          <w:b w:val="false"/>
          <w:color w:val="000000"/>
          <w:sz w:val="22"/>
        </w:rPr>
        <w:t>shall cease with respect to the eligible Executive and/or dependent. Executive and Executive’s dependents must notify the Company of any subsequent employment and provide information regarding medical and/or dental coverage available.</w:t>
      </w:r>
    </w:p>
    <w:p>
      <w:pPr>
        <w:pStyle w:val="TextBody"/>
        <w:bidi w:val="0"/>
        <w:spacing w:lineRule="auto" w:line="307" w:before="0" w:after="0"/>
        <w:jc w:val="both"/>
        <w:rPr/>
      </w:pPr>
      <w:r>
        <w:rPr>
          <w:rFonts w:ascii="Times New Roman;serif" w:hAnsi="Times New Roman;serif"/>
          <w:b/>
          <w:color w:val="000000"/>
          <w:sz w:val="24"/>
        </w:rPr>
        <w:t>2.</w:t>
      </w:r>
      <w:r>
        <w:rPr>
          <w:rFonts w:ascii="Times New Roman;serif" w:hAnsi="Times New Roman;serif"/>
          <w:b/>
          <w:color w:val="000000"/>
          <w:sz w:val="22"/>
          <w:u w:val="single"/>
        </w:rPr>
        <w:t>Continued Effectiveness of the Employment Agreement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Employment Agreement is, and shall continue to be, in full force and effect, except as otherwise provided in this Amendment and except that all references to the Employment Agreement set forth in the Employment Agreement and any other agreements to which the parties hereto are parties that have been executed prior to the date hereof shall mean the Employment Agreement, as amended by this Amendment.</w:t>
      </w:r>
    </w:p>
    <w:p>
      <w:pPr>
        <w:pStyle w:val="TextBody"/>
        <w:bidi w:val="0"/>
        <w:spacing w:before="0" w:after="0"/>
        <w:jc w:val="both"/>
        <w:rPr/>
      </w:pPr>
      <w:r>
        <w:rPr/>
      </w:r>
    </w:p>
    <w:p>
      <w:pPr>
        <w:pStyle w:val="TextBody"/>
        <w:bidi w:val="0"/>
        <w:spacing w:lineRule="auto" w:line="307" w:before="0" w:after="0"/>
        <w:jc w:val="both"/>
        <w:rPr/>
      </w:pPr>
      <w:r>
        <w:rPr>
          <w:rFonts w:ascii="Times New Roman;serif" w:hAnsi="Times New Roman;serif"/>
          <w:b/>
          <w:color w:val="000000"/>
          <w:sz w:val="24"/>
        </w:rPr>
        <w:t>3.</w:t>
      </w:r>
      <w:r>
        <w:rPr>
          <w:rFonts w:ascii="Times New Roman;serif" w:hAnsi="Times New Roman;serif"/>
          <w:b/>
          <w:color w:val="000000"/>
          <w:sz w:val="22"/>
          <w:u w:val="single"/>
        </w:rPr>
        <w:t>Miscellaneous</w:t>
      </w:r>
      <w:r>
        <w:rPr>
          <w:rFonts w:ascii="Times New Roman;serif" w:hAnsi="Times New Roman;serif"/>
          <w:b/>
          <w:color w:val="000000"/>
          <w:sz w:val="22"/>
        </w:rPr>
        <w:t>.</w:t>
      </w:r>
      <w:r>
        <w:rPr>
          <w:color w:val="000000"/>
        </w:rPr>
        <w:t xml:space="preserve"> </w:t>
      </w:r>
    </w:p>
    <w:p>
      <w:pPr>
        <w:pStyle w:val="TextBody"/>
        <w:bidi w:val="0"/>
        <w:spacing w:before="0" w:after="0"/>
        <w:jc w:val="both"/>
        <w:rPr/>
      </w:pPr>
      <w:r>
        <w:rPr/>
      </w:r>
    </w:p>
    <w:p>
      <w:pPr>
        <w:pStyle w:val="TextBody"/>
        <w:bidi w:val="0"/>
        <w:spacing w:lineRule="auto" w:line="307" w:before="0" w:after="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2"/>
          <w:u w:val="single"/>
        </w:rPr>
        <w:t>Governing Law</w:t>
      </w:r>
      <w:r>
        <w:rPr>
          <w:rFonts w:ascii="Times New Roman;serif" w:hAnsi="Times New Roman;serif"/>
          <w:b w:val="false"/>
          <w:color w:val="000000"/>
          <w:sz w:val="22"/>
        </w:rPr>
        <w:t xml:space="preserve">. This Agreement shall be governed by and construed under the laws of the State of Delaware, without regard to principles of conflict of laws (whether in Delaware or any other jurisdiction) that would cause the application of the laws of any jurisdiction other than Delaware. </w:t>
      </w:r>
    </w:p>
    <w:p>
      <w:pPr>
        <w:pStyle w:val="TextBody"/>
        <w:bidi w:val="0"/>
        <w:spacing w:before="0" w:after="0"/>
        <w:jc w:val="both"/>
        <w:rPr/>
      </w:pPr>
      <w:r>
        <w:rPr/>
      </w:r>
    </w:p>
    <w:p>
      <w:pPr>
        <w:pStyle w:val="TextBody"/>
        <w:bidi w:val="0"/>
        <w:spacing w:lineRule="auto" w:line="307" w:before="0" w:after="0"/>
        <w:ind w:left="0" w:right="0" w:firstLine="1440"/>
        <w:jc w:val="both"/>
        <w:rPr/>
      </w:pPr>
      <w:r>
        <w:rPr>
          <w:rFonts w:ascii="Times New Roman;serif" w:hAnsi="Times New Roman;serif"/>
          <w:b/>
          <w:color w:val="000000"/>
          <w:sz w:val="24"/>
        </w:rPr>
        <w:t>(b)</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Amendment may be executed in one or more counterparts, each of which shall be deemed an original and all of which taken together shall constitute one and the same instrument.</w:t>
      </w:r>
    </w:p>
    <w:p>
      <w:pPr>
        <w:pStyle w:val="TextBody"/>
        <w:bidi w:val="0"/>
        <w:spacing w:lineRule="auto" w:line="307" w:before="0" w:after="0"/>
        <w:ind w:left="0" w:right="0" w:firstLine="1440"/>
        <w:jc w:val="both"/>
        <w:rPr/>
      </w:pPr>
      <w:r>
        <w:rPr>
          <w:rFonts w:ascii="Times New Roman;serif" w:hAnsi="Times New Roman;serif"/>
          <w:b/>
          <w:color w:val="000000"/>
          <w:sz w:val="24"/>
        </w:rPr>
        <w:t>(c)</w:t>
      </w:r>
      <w:r>
        <w:rPr>
          <w:rFonts w:ascii="Times New Roman;serif" w:hAnsi="Times New Roman;serif"/>
          <w:b w:val="false"/>
          <w:color w:val="000000"/>
          <w:sz w:val="22"/>
          <w:u w:val="single"/>
        </w:rPr>
        <w:t>Construction</w:t>
      </w:r>
      <w:r>
        <w:rPr>
          <w:rFonts w:ascii="Times New Roman;serif" w:hAnsi="Times New Roman;serif"/>
          <w:b w:val="false"/>
          <w:color w:val="000000"/>
          <w:sz w:val="22"/>
        </w:rPr>
        <w:t xml:space="preserve">. This Amendment shall be construed without regard to any presumption or other rule requiring construction against the drafting party. </w:t>
      </w:r>
    </w:p>
    <w:p>
      <w:pPr>
        <w:pStyle w:val="TextBody"/>
        <w:bidi w:val="0"/>
        <w:spacing w:before="0" w:after="0"/>
        <w:jc w:val="both"/>
        <w:rPr/>
      </w:pPr>
      <w:r>
        <w:rPr/>
      </w:r>
    </w:p>
    <w:p>
      <w:pPr>
        <w:pStyle w:val="TextBody"/>
        <w:bidi w:val="0"/>
        <w:spacing w:lineRule="auto" w:line="307"/>
        <w:jc w:val="center"/>
        <w:rPr>
          <w:rFonts w:ascii="Times New Roman;serif" w:hAnsi="Times New Roman;serif"/>
          <w:b w:val="false"/>
          <w:i/>
          <w:color w:val="000000"/>
          <w:sz w:val="22"/>
        </w:rPr>
      </w:pPr>
      <w:r>
        <w:rPr>
          <w:rFonts w:ascii="Times New Roman;serif" w:hAnsi="Times New Roman;serif"/>
          <w:b w:val="false"/>
          <w:i/>
          <w:color w:val="000000"/>
          <w:sz w:val="22"/>
        </w:rPr>
        <w:t>[Signature Page Follows]</w:t>
      </w:r>
    </w:p>
    <w:p>
      <w:pPr>
        <w:pStyle w:val="TextBody"/>
        <w:bidi w:val="0"/>
        <w:spacing w:lineRule="auto" w:line="307" w:before="0" w:after="0"/>
        <w:jc w:val="right"/>
        <w:rPr>
          <w:rFonts w:ascii="Times New Roman;serif" w:hAnsi="Times New Roman;serif"/>
          <w:b w:val="false"/>
          <w:color w:val="000000"/>
          <w:sz w:val="20"/>
        </w:rPr>
      </w:pPr>
      <w:r>
        <w:rPr>
          <w:rFonts w:ascii="Times New Roman;serif" w:hAnsi="Times New Roman;serif"/>
          <w:b w:val="false"/>
          <w:color w:val="000000"/>
          <w:sz w:val="20"/>
        </w:rPr>
        <w:t>Exhibit 10.1</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07"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Company has caused this Amendment to be executed in its name and on its behalf, and Executive acknowledges understanding and acceptance of, and agrees to, the terms of this Amendment, all as of the Effective Date.</w:t>
      </w:r>
    </w:p>
    <w:p>
      <w:pPr>
        <w:pStyle w:val="TextBody"/>
        <w:bidi w:val="0"/>
        <w:spacing w:before="0" w:after="0"/>
        <w:ind w:left="0" w:right="0" w:firstLine="720"/>
        <w:jc w:val="both"/>
        <w:rPr/>
      </w:pPr>
      <w:r>
        <w:rPr/>
      </w:r>
    </w:p>
    <w:tbl>
      <w:tblPr>
        <w:tblW w:w="5414" w:type="dxa"/>
        <w:jc w:val="left"/>
        <w:tblInd w:w="0" w:type="dxa"/>
        <w:tblLayout w:type="fixed"/>
        <w:tblCellMar>
          <w:top w:w="28" w:type="dxa"/>
          <w:left w:w="28" w:type="dxa"/>
          <w:bottom w:w="28" w:type="dxa"/>
          <w:right w:w="28" w:type="dxa"/>
        </w:tblCellMar>
      </w:tblPr>
      <w:tblGrid>
        <w:gridCol w:w="1441"/>
        <w:gridCol w:w="1266"/>
        <w:gridCol w:w="1268"/>
        <w:gridCol w:w="421"/>
        <w:gridCol w:w="421"/>
        <w:gridCol w:w="597"/>
      </w:tblGrid>
      <w:tr>
        <w:trPr/>
        <w:tc>
          <w:tcPr>
            <w:tcW w:w="144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7" w:before="0" w:after="0"/>
              <w:jc w:val="left"/>
              <w:rPr>
                <w:rFonts w:ascii="Times New Roman;serif" w:hAnsi="Times New Roman;serif"/>
                <w:b/>
                <w:color w:val="000000"/>
                <w:sz w:val="22"/>
              </w:rPr>
            </w:pPr>
            <w:r>
              <w:rPr>
                <w:rFonts w:ascii="Times New Roman;serif" w:hAnsi="Times New Roman;serif"/>
                <w:b/>
                <w:color w:val="000000"/>
                <w:sz w:val="22"/>
              </w:rPr>
              <w:t>CONTEXT THERAPEUTICS INC.</w:t>
            </w:r>
          </w:p>
          <w:p>
            <w:pPr>
              <w:pStyle w:val="TableContents"/>
              <w:bidi w:val="0"/>
              <w:spacing w:before="0" w:after="0"/>
              <w:jc w:val="left"/>
              <w:rPr/>
            </w:pPr>
            <w:r>
              <w:rPr/>
            </w:r>
          </w:p>
          <w:p>
            <w:pPr>
              <w:pStyle w:val="TableContents"/>
              <w:bidi w:val="0"/>
              <w:spacing w:lineRule="auto" w:line="307"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Andy Pasternak </w:t>
            </w:r>
            <w:r>
              <w:rPr>
                <w:rFonts w:ascii="Times New Roman;serif" w:hAnsi="Times New Roman;serif"/>
                <w:b w:val="false"/>
                <w:color w:val="000000"/>
                <w:sz w:val="22"/>
              </w:rPr>
              <w:br/>
              <w:t xml:space="preserve">Name: Andy Pasternak </w:t>
              <w:br/>
              <w:t>Title: Chairman of the Board of Directors</w:t>
            </w:r>
          </w:p>
        </w:tc>
        <w:tc>
          <w:tcPr>
            <w:tcW w:w="143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7" w:before="0" w:after="0"/>
              <w:jc w:val="left"/>
              <w:rPr>
                <w:rFonts w:ascii="Times New Roman;serif" w:hAnsi="Times New Roman;serif"/>
                <w:b/>
                <w:color w:val="000000"/>
                <w:sz w:val="22"/>
              </w:rPr>
            </w:pPr>
            <w:r>
              <w:rPr>
                <w:rFonts w:ascii="Times New Roman;serif" w:hAnsi="Times New Roman;serif"/>
                <w:b/>
                <w:color w:val="000000"/>
                <w:sz w:val="22"/>
              </w:rPr>
              <w:t>Martin Lehr</w:t>
            </w:r>
          </w:p>
          <w:p>
            <w:pPr>
              <w:pStyle w:val="TableContents"/>
              <w:bidi w:val="0"/>
              <w:spacing w:before="0" w:after="0"/>
              <w:jc w:val="left"/>
              <w:rPr/>
            </w:pPr>
            <w:r>
              <w:rPr/>
            </w:r>
          </w:p>
          <w:p>
            <w:pPr>
              <w:pStyle w:val="TableContents"/>
              <w:bidi w:val="0"/>
              <w:spacing w:lineRule="auto" w:line="307" w:before="0" w:after="0"/>
              <w:jc w:val="left"/>
              <w:rPr>
                <w:rFonts w:ascii="Times New Roman;serif" w:hAnsi="Times New Roman;serif"/>
                <w:b w:val="false"/>
                <w:color w:val="000000"/>
                <w:sz w:val="21"/>
                <w:u w:val="single"/>
              </w:rPr>
            </w:pPr>
            <w:r>
              <w:rPr>
                <w:rFonts w:ascii="Times New Roman;serif" w:hAnsi="Times New Roman;serif"/>
                <w:b w:val="false"/>
                <w:color w:val="000000"/>
                <w:sz w:val="21"/>
                <w:u w:val="single"/>
              </w:rPr>
              <w:t>/s/ Martin Lehr</w:t>
            </w:r>
          </w:p>
        </w:tc>
      </w:tr>
    </w:tbl>
    <w:p>
      <w:pPr>
        <w:pStyle w:val="TextBody"/>
        <w:bidi w:val="0"/>
        <w:spacing w:before="0" w:after="0"/>
        <w:jc w:val="center"/>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7" w:before="0" w:after="0"/>
        <w:jc w:val="right"/>
        <w:rPr>
          <w:rFonts w:ascii="Times New Roman;serif" w:hAnsi="Times New Roman;serif"/>
          <w:b w:val="false"/>
          <w:color w:val="000000"/>
          <w:sz w:val="20"/>
        </w:rPr>
      </w:pPr>
      <w:r>
        <w:rPr>
          <w:rFonts w:ascii="Times New Roman;serif" w:hAnsi="Times New Roman;serif"/>
          <w:b w:val="false"/>
          <w:color w:val="000000"/>
          <w:sz w:val="20"/>
        </w:rPr>
        <w:t>Exhibit 10.2</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07"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FIRST AMENDMENT TO EMPLOYMENT AGREEMENT</w:t>
      </w:r>
    </w:p>
    <w:p>
      <w:pPr>
        <w:pStyle w:val="TextBody"/>
        <w:bidi w:val="0"/>
        <w:spacing w:lineRule="auto" w:line="307" w:before="0" w:after="0"/>
        <w:ind w:left="0" w:right="0" w:firstLine="720"/>
        <w:jc w:val="both"/>
        <w:rPr/>
      </w:pPr>
      <w:r>
        <w:rPr>
          <w:rFonts w:ascii="Times New Roman;serif" w:hAnsi="Times New Roman;serif"/>
          <w:b w:val="false"/>
          <w:color w:val="000000"/>
          <w:sz w:val="20"/>
        </w:rPr>
        <w:t>This FIRST AMENDMENT TO THE EMPLOYMENT AGREEMENT</w:t>
      </w:r>
      <w:r>
        <w:rPr>
          <w:color w:val="000000"/>
        </w:rPr>
        <w:t xml:space="preserve"> </w:t>
      </w:r>
      <w:r>
        <w:rPr>
          <w:rFonts w:ascii="Times New Roman;serif" w:hAnsi="Times New Roman;serif"/>
          <w:b w:val="false"/>
          <w:color w:val="000000"/>
          <w:sz w:val="20"/>
        </w:rPr>
        <w:t>(“</w:t>
      </w:r>
      <w:r>
        <w:rPr>
          <w:rFonts w:ascii="Times New Roman;serif" w:hAnsi="Times New Roman;serif"/>
          <w:b/>
          <w:color w:val="000000"/>
          <w:sz w:val="20"/>
        </w:rPr>
        <w:t>Amendment</w:t>
      </w:r>
      <w:r>
        <w:rPr>
          <w:color w:val="000000"/>
        </w:rPr>
        <w: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is made and entered into effective as of this 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of August, 2026 (“</w:t>
      </w:r>
      <w:r>
        <w:rPr>
          <w:rFonts w:ascii="Times New Roman;serif" w:hAnsi="Times New Roman;serif"/>
          <w:b/>
          <w:color w:val="000000"/>
          <w:sz w:val="20"/>
        </w:rPr>
        <w:t>Effective Date</w:t>
      </w:r>
      <w:r>
        <w:rPr>
          <w:color w:val="000000"/>
        </w:rPr>
        <w:t>”</w:t>
      </w:r>
      <w:r>
        <w:rPr>
          <w:rFonts w:ascii="Times New Roman;serif" w:hAnsi="Times New Roman;serif"/>
          <w:b w:val="false"/>
          <w:color w:val="000000"/>
          <w:sz w:val="20"/>
        </w:rPr>
        <w:t>) by and between Context Therapeutics Inc.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and Jennifer Minai-Azary (“</w:t>
      </w:r>
      <w:r>
        <w:rPr>
          <w:rFonts w:ascii="Times New Roman;serif" w:hAnsi="Times New Roman;serif"/>
          <w:b/>
          <w:color w:val="000000"/>
          <w:sz w:val="20"/>
        </w:rPr>
        <w:t>Executive</w:t>
      </w:r>
      <w:r>
        <w:rPr>
          <w:color w:val="000000"/>
        </w:rPr>
        <w:t>”</w:t>
      </w:r>
      <w:r>
        <w:rPr>
          <w:rFonts w:ascii="Times New Roman;serif" w:hAnsi="Times New Roman;serif"/>
          <w:b w:val="false"/>
          <w:color w:val="000000"/>
          <w:sz w:val="20"/>
        </w:rPr>
        <w:t>). The Company and Executive are each referred to herein as a “</w:t>
      </w:r>
      <w:r>
        <w:rPr>
          <w:rFonts w:ascii="Times New Roman;serif" w:hAnsi="Times New Roman;serif"/>
          <w:b/>
          <w:color w:val="000000"/>
          <w:sz w:val="20"/>
        </w:rPr>
        <w:t>Party</w:t>
      </w:r>
      <w:r>
        <w:rPr>
          <w:color w:val="000000"/>
        </w:rPr>
        <w:t xml:space="preserve">” </w:t>
      </w:r>
      <w:r>
        <w:rPr>
          <w:rFonts w:ascii="Times New Roman;serif" w:hAnsi="Times New Roman;serif"/>
          <w:b w:val="false"/>
          <w:color w:val="000000"/>
          <w:sz w:val="20"/>
        </w:rPr>
        <w:t>or together as the “</w:t>
      </w:r>
      <w:r>
        <w:rPr>
          <w:rFonts w:ascii="Times New Roman;serif" w:hAnsi="Times New Roman;serif"/>
          <w:b/>
          <w:color w:val="000000"/>
          <w:sz w:val="20"/>
        </w:rPr>
        <w:t>Parties</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307" w:before="0" w:after="0"/>
        <w:jc w:val="both"/>
        <w:rPr/>
      </w:pPr>
      <w:r>
        <w:rPr>
          <w:color w:val="000000"/>
        </w:rPr>
        <w:t>    </w:t>
      </w:r>
      <w:r>
        <w:rPr>
          <w:rFonts w:ascii="Times New Roman;serif" w:hAnsi="Times New Roman;serif"/>
          <w:b w:val="false"/>
          <w:color w:val="000000"/>
          <w:sz w:val="20"/>
        </w:rPr>
        <w:t>WHEREAS, the Company and Executive are parties to an employment agreement dated November 1, 2021 (the “</w:t>
      </w:r>
      <w:r>
        <w:rPr>
          <w:rFonts w:ascii="Times New Roman;serif" w:hAnsi="Times New Roman;serif"/>
          <w:b/>
          <w:color w:val="000000"/>
          <w:sz w:val="20"/>
        </w:rPr>
        <w:t>Employment Agreement</w:t>
      </w:r>
      <w:r>
        <w:rPr>
          <w:color w:val="000000"/>
        </w:rPr>
        <w:t>”</w:t>
      </w:r>
      <w:r>
        <w:rPr>
          <w:rFonts w:ascii="Times New Roman;serif" w:hAnsi="Times New Roman;serif"/>
          <w:b w:val="false"/>
          <w:color w:val="000000"/>
          <w:sz w:val="20"/>
        </w:rPr>
        <w:t>); and</w:t>
      </w:r>
    </w:p>
    <w:p>
      <w:pPr>
        <w:pStyle w:val="TextBody"/>
        <w:bidi w:val="0"/>
        <w:spacing w:before="0" w:after="0"/>
        <w:jc w:val="both"/>
        <w:rPr/>
      </w:pPr>
      <w:r>
        <w:rPr/>
      </w:r>
    </w:p>
    <w:p>
      <w:pPr>
        <w:pStyle w:val="TextBody"/>
        <w:bidi w:val="0"/>
        <w:spacing w:lineRule="auto" w:line="307" w:before="0" w:after="0"/>
        <w:jc w:val="both"/>
        <w:rPr>
          <w:color w:val="000000"/>
        </w:rPr>
      </w:pPr>
      <w:r>
        <w:rPr>
          <w:color w:val="000000"/>
        </w:rPr>
        <w:t>    </w:t>
      </w:r>
      <w:r>
        <w:rPr>
          <w:rFonts w:ascii="Times New Roman;serif" w:hAnsi="Times New Roman;serif"/>
          <w:b w:val="false"/>
          <w:color w:val="000000"/>
          <w:sz w:val="20"/>
        </w:rPr>
        <w:t>WHEREAS, the Parties wish to amend the Employment Agreement with this Amendment.</w:t>
      </w:r>
    </w:p>
    <w:p>
      <w:pPr>
        <w:pStyle w:val="TextBody"/>
        <w:bidi w:val="0"/>
        <w:spacing w:before="0" w:after="0"/>
        <w:jc w:val="both"/>
        <w:rPr/>
      </w:pPr>
      <w:r>
        <w:rPr/>
      </w:r>
    </w:p>
    <w:p>
      <w:pPr>
        <w:pStyle w:val="TextBody"/>
        <w:bidi w:val="0"/>
        <w:spacing w:lineRule="auto" w:line="307"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NOW, THEREFORE, in consideration of the mutual covenants contained and incorporated herein and other good and valuable consideration, the receipt and sufficiency of which are hereby acknowledged, the Parties, intending to be legally bound, hereby expressly covenant and agree as follows:</w:t>
      </w:r>
    </w:p>
    <w:p>
      <w:pPr>
        <w:pStyle w:val="TextBody"/>
        <w:bidi w:val="0"/>
        <w:spacing w:lineRule="auto" w:line="307" w:before="0" w:after="240"/>
        <w:jc w:val="both"/>
        <w:rPr/>
      </w:pPr>
      <w:r>
        <w:rPr>
          <w:rFonts w:ascii="Times New Roman;serif" w:hAnsi="Times New Roman;serif"/>
          <w:b/>
          <w:color w:val="000000"/>
          <w:sz w:val="20"/>
        </w:rPr>
        <w:t>1.</w:t>
      </w:r>
      <w:r>
        <w:rPr>
          <w:rFonts w:ascii="Times New Roman;serif" w:hAnsi="Times New Roman;serif"/>
          <w:b/>
          <w:color w:val="000000"/>
          <w:sz w:val="20"/>
          <w:u w:val="single"/>
        </w:rPr>
        <w:t>Definitions</w:t>
      </w:r>
      <w:r>
        <w:rPr>
          <w:rFonts w:ascii="Times New Roman;serif" w:hAnsi="Times New Roman;serif"/>
          <w:b w:val="false"/>
          <w:color w:val="000000"/>
          <w:sz w:val="20"/>
        </w:rPr>
        <w:t>. Capitalized terms used herein and not otherwise defined herein shall have the meanings ascribed thereto in the Employment Agreement.</w:t>
      </w:r>
    </w:p>
    <w:p>
      <w:pPr>
        <w:pStyle w:val="TextBody"/>
        <w:bidi w:val="0"/>
        <w:spacing w:lineRule="auto" w:line="307" w:before="0" w:after="240"/>
        <w:jc w:val="both"/>
        <w:rPr/>
      </w:pPr>
      <w:r>
        <w:rPr>
          <w:rFonts w:ascii="Times New Roman;serif" w:hAnsi="Times New Roman;serif"/>
          <w:b/>
          <w:color w:val="000000"/>
          <w:sz w:val="20"/>
        </w:rPr>
        <w:t>2.</w:t>
      </w:r>
      <w:r>
        <w:rPr>
          <w:rFonts w:ascii="Times New Roman;serif" w:hAnsi="Times New Roman;serif"/>
          <w:b/>
          <w:color w:val="000000"/>
          <w:sz w:val="20"/>
          <w:u w:val="single"/>
        </w:rPr>
        <w:t>Termination</w:t>
      </w:r>
      <w:r>
        <w:rPr>
          <w:rFonts w:ascii="Times New Roman;serif" w:hAnsi="Times New Roman;serif"/>
          <w:b/>
          <w:color w:val="000000"/>
          <w:sz w:val="20"/>
        </w:rPr>
        <w:t xml:space="preserve">. </w:t>
      </w:r>
      <w:r>
        <w:rPr>
          <w:rFonts w:ascii="Times New Roman;serif" w:hAnsi="Times New Roman;serif"/>
          <w:b w:val="false"/>
          <w:color w:val="000000"/>
          <w:sz w:val="20"/>
        </w:rPr>
        <w:t>The lead-in language to Section 4(d) is deleted in its entirety and is replaced as follows.</w:t>
      </w:r>
      <w:r>
        <w:rPr>
          <w:color w:val="000000"/>
        </w:rPr>
        <w:t xml:space="preserve"> </w:t>
      </w:r>
    </w:p>
    <w:p>
      <w:pPr>
        <w:pStyle w:val="TextBody"/>
        <w:bidi w:val="0"/>
        <w:spacing w:lineRule="auto" w:line="307" w:before="0" w:after="240"/>
        <w:ind w:left="0" w:right="0" w:firstLine="1440"/>
        <w:jc w:val="both"/>
        <w:rPr/>
      </w:pPr>
      <w:r>
        <w:rPr>
          <w:rFonts w:ascii="Times New Roman;serif" w:hAnsi="Times New Roman;serif"/>
          <w:b/>
          <w:color w:val="000000"/>
          <w:sz w:val="20"/>
        </w:rPr>
        <w:t>(d)</w:t>
      </w:r>
      <w:r>
        <w:rPr>
          <w:rFonts w:ascii="Times New Roman;serif" w:hAnsi="Times New Roman;serif"/>
          <w:b/>
          <w:color w:val="000000"/>
          <w:sz w:val="20"/>
          <w:u w:val="single"/>
        </w:rPr>
        <w:t>Termination Upon a Change in Control</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Notwithstanding Section 4(c) above, and in lieu of any payment owed under Section 4(c), if any, in the event that the Company (or its successor) terminates the Executive without Cause or the Executive resigns from employment with the Company for Good Reason, in each case upon a Change in Control (as such terms are defined below) or within either the three (3) month period prior to the Change in Control or the twelve (12) month period following the Change in Control, then Executive</w:t>
      </w:r>
      <w:r>
        <w:rPr>
          <w:color w:val="000000"/>
        </w:rPr>
        <w:t xml:space="preserve"> </w:t>
      </w:r>
      <w:r>
        <w:rPr>
          <w:rFonts w:ascii="Times New Roman;serif" w:hAnsi="Times New Roman;serif"/>
          <w:b w:val="false"/>
          <w:color w:val="000000"/>
          <w:sz w:val="20"/>
        </w:rPr>
        <w:t>shall be entitled to the following:</w:t>
      </w:r>
    </w:p>
    <w:p>
      <w:pPr>
        <w:pStyle w:val="TextBody"/>
        <w:bidi w:val="0"/>
        <w:spacing w:lineRule="auto" w:line="307" w:before="0" w:after="0"/>
        <w:jc w:val="both"/>
        <w:rPr/>
      </w:pPr>
      <w:r>
        <w:rPr>
          <w:rFonts w:ascii="Times New Roman;serif" w:hAnsi="Times New Roman;serif"/>
          <w:b/>
          <w:color w:val="000000"/>
          <w:sz w:val="20"/>
        </w:rPr>
        <w:t>(c.</w:t>
      </w:r>
      <w:r>
        <w:rPr>
          <w:rFonts w:ascii="Times New Roman;serif" w:hAnsi="Times New Roman;serif"/>
          <w:b/>
          <w:color w:val="000000"/>
          <w:sz w:val="20"/>
          <w:u w:val="single"/>
        </w:rPr>
        <w:t>Continued Effectiveness of the Employment Agreement</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The Employment Agreement is, and shall continue to be, in full force and effect, except as otherwise provided in this Amendment and except that all references to the Employment Agreement set forth in the Employment Agreement and any other agreements to which the parties hereto are parties that have been executed prior to the date hereof shall mean the Employment Agreement, as amended by this Amendment.</w:t>
      </w:r>
    </w:p>
    <w:p>
      <w:pPr>
        <w:pStyle w:val="TextBody"/>
        <w:bidi w:val="0"/>
        <w:spacing w:before="0" w:after="0"/>
        <w:jc w:val="both"/>
        <w:rPr/>
      </w:pPr>
      <w:r>
        <w:rPr/>
      </w:r>
    </w:p>
    <w:p>
      <w:pPr>
        <w:pStyle w:val="TextBody"/>
        <w:bidi w:val="0"/>
        <w:spacing w:lineRule="auto" w:line="307" w:before="0" w:after="0"/>
        <w:jc w:val="both"/>
        <w:rPr/>
      </w:pPr>
      <w:r>
        <w:rPr>
          <w:rFonts w:ascii="Times New Roman;serif" w:hAnsi="Times New Roman;serif"/>
          <w:b/>
          <w:color w:val="000000"/>
          <w:sz w:val="20"/>
        </w:rPr>
        <w:t>(d.</w:t>
      </w:r>
      <w:r>
        <w:rPr>
          <w:rFonts w:ascii="Times New Roman;serif" w:hAnsi="Times New Roman;serif"/>
          <w:b/>
          <w:color w:val="000000"/>
          <w:sz w:val="20"/>
          <w:u w:val="single"/>
        </w:rPr>
        <w:t>Miscellaneous</w:t>
      </w:r>
      <w:r>
        <w:rPr>
          <w:rFonts w:ascii="Times New Roman;serif" w:hAnsi="Times New Roman;serif"/>
          <w:b/>
          <w:color w:val="000000"/>
          <w:sz w:val="20"/>
        </w:rPr>
        <w:t>.</w:t>
      </w:r>
      <w:r>
        <w:rPr>
          <w:color w:val="000000"/>
        </w:rPr>
        <w:t xml:space="preserve"> </w:t>
      </w:r>
    </w:p>
    <w:p>
      <w:pPr>
        <w:pStyle w:val="TextBody"/>
        <w:bidi w:val="0"/>
        <w:spacing w:before="0" w:after="0"/>
        <w:jc w:val="both"/>
        <w:rPr/>
      </w:pPr>
      <w:r>
        <w:rPr/>
      </w:r>
    </w:p>
    <w:p>
      <w:pPr>
        <w:pStyle w:val="TextBody"/>
        <w:bidi w:val="0"/>
        <w:spacing w:lineRule="auto" w:line="307" w:before="0" w:after="0"/>
        <w:ind w:left="0" w:right="0" w:firstLine="1440"/>
        <w:jc w:val="both"/>
        <w:rPr/>
      </w:pPr>
      <w:r>
        <w:rPr>
          <w:rFonts w:ascii="Times New Roman;serif" w:hAnsi="Times New Roman;serif"/>
          <w:b/>
          <w:color w:val="000000"/>
          <w:sz w:val="20"/>
        </w:rPr>
        <w:t>(a)</w:t>
      </w:r>
      <w:r>
        <w:rPr>
          <w:rFonts w:ascii="Times New Roman;serif" w:hAnsi="Times New Roman;serif"/>
          <w:b w:val="false"/>
          <w:color w:val="000000"/>
          <w:sz w:val="20"/>
          <w:u w:val="single"/>
        </w:rPr>
        <w:t>Governing Law</w:t>
      </w:r>
      <w:r>
        <w:rPr>
          <w:rFonts w:ascii="Times New Roman;serif" w:hAnsi="Times New Roman;serif"/>
          <w:b w:val="false"/>
          <w:color w:val="000000"/>
          <w:sz w:val="20"/>
        </w:rPr>
        <w:t xml:space="preserve">. This Agreement shall be governed by and construed under the laws of the State of Delaware, without regard to principles of conflict of laws (whether in Delaware or any other jurisdiction) that would cause the application of the laws of any jurisdiction other than Delaware. </w:t>
      </w:r>
    </w:p>
    <w:p>
      <w:pPr>
        <w:pStyle w:val="TextBody"/>
        <w:bidi w:val="0"/>
        <w:spacing w:lineRule="auto" w:line="307" w:before="0" w:after="0"/>
        <w:ind w:left="0" w:right="0" w:firstLine="1440"/>
        <w:jc w:val="both"/>
        <w:rPr/>
      </w:pPr>
      <w:r>
        <w:rPr>
          <w:rFonts w:ascii="Times New Roman;serif" w:hAnsi="Times New Roman;serif"/>
          <w:b/>
          <w:color w:val="000000"/>
          <w:sz w:val="20"/>
        </w:rPr>
        <w:t>(b)</w:t>
      </w:r>
      <w:r>
        <w:rPr>
          <w:rFonts w:ascii="Times New Roman;serif" w:hAnsi="Times New Roman;serif"/>
          <w:b w:val="false"/>
          <w:color w:val="000000"/>
          <w:sz w:val="20"/>
          <w:u w:val="single"/>
        </w:rPr>
        <w:t>Counterparts</w:t>
      </w:r>
      <w:r>
        <w:rPr>
          <w:rFonts w:ascii="Times New Roman;serif" w:hAnsi="Times New Roman;serif"/>
          <w:b w:val="false"/>
          <w:color w:val="000000"/>
          <w:sz w:val="20"/>
        </w:rPr>
        <w:t>. This Amendment may be executed in one or more counterparts, each of which shall be deemed an original and all of which taken together shall constitute one and the same instrument.</w:t>
      </w:r>
    </w:p>
    <w:p>
      <w:pPr>
        <w:pStyle w:val="TextBody"/>
        <w:bidi w:val="0"/>
        <w:spacing w:lineRule="auto" w:line="307" w:before="0" w:after="0"/>
        <w:ind w:left="0" w:right="0" w:firstLine="1440"/>
        <w:jc w:val="both"/>
        <w:rPr/>
      </w:pPr>
      <w:r>
        <w:rPr>
          <w:rFonts w:ascii="Times New Roman;serif" w:hAnsi="Times New Roman;serif"/>
          <w:b/>
          <w:color w:val="000000"/>
          <w:sz w:val="20"/>
        </w:rPr>
        <w:t>(c)</w:t>
      </w:r>
      <w:r>
        <w:rPr>
          <w:rFonts w:ascii="Times New Roman;serif" w:hAnsi="Times New Roman;serif"/>
          <w:b w:val="false"/>
          <w:color w:val="000000"/>
          <w:sz w:val="20"/>
          <w:u w:val="single"/>
        </w:rPr>
        <w:t>Construction</w:t>
      </w:r>
      <w:r>
        <w:rPr>
          <w:rFonts w:ascii="Times New Roman;serif" w:hAnsi="Times New Roman;serif"/>
          <w:b w:val="false"/>
          <w:color w:val="000000"/>
          <w:sz w:val="20"/>
        </w:rPr>
        <w:t xml:space="preserve">. This Amendment shall be construed without regard to any presumption or other rule requiring construction against the drafting party. </w:t>
      </w:r>
    </w:p>
    <w:p>
      <w:pPr>
        <w:pStyle w:val="TextBody"/>
        <w:bidi w:val="0"/>
        <w:spacing w:before="0" w:after="0"/>
        <w:jc w:val="both"/>
        <w:rPr/>
      </w:pPr>
      <w:r>
        <w:rPr/>
      </w:r>
    </w:p>
    <w:p>
      <w:pPr>
        <w:pStyle w:val="TextBody"/>
        <w:bidi w:val="0"/>
        <w:spacing w:lineRule="auto" w:line="307"/>
        <w:jc w:val="center"/>
        <w:rPr>
          <w:rFonts w:ascii="Times New Roman;serif" w:hAnsi="Times New Roman;serif"/>
          <w:b w:val="false"/>
          <w:i/>
          <w:color w:val="000000"/>
          <w:sz w:val="20"/>
        </w:rPr>
      </w:pPr>
      <w:r>
        <w:rPr>
          <w:rFonts w:ascii="Times New Roman;serif" w:hAnsi="Times New Roman;serif"/>
          <w:b w:val="false"/>
          <w:i/>
          <w:color w:val="000000"/>
          <w:sz w:val="20"/>
        </w:rPr>
        <w:t>[Signature Page Follows]</w:t>
      </w:r>
    </w:p>
    <w:p>
      <w:pPr>
        <w:pStyle w:val="TextBody"/>
        <w:bidi w:val="0"/>
        <w:spacing w:lineRule="auto" w:line="307" w:before="0" w:after="0"/>
        <w:jc w:val="right"/>
        <w:rPr>
          <w:rFonts w:ascii="Times New Roman;serif" w:hAnsi="Times New Roman;serif"/>
          <w:b w:val="false"/>
          <w:color w:val="000000"/>
          <w:sz w:val="20"/>
        </w:rPr>
      </w:pPr>
      <w:r>
        <w:rPr>
          <w:rFonts w:ascii="Times New Roman;serif" w:hAnsi="Times New Roman;serif"/>
          <w:b w:val="false"/>
          <w:color w:val="000000"/>
          <w:sz w:val="20"/>
        </w:rPr>
        <w:t>Exhibit 10.2</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07"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WITNESS WHEREOF, the Company has caused this Amendment to be executed in its name and on its behalf, and Executive acknowledges understanding and acceptance of, and agrees to, the terms of this Amendment, all as of the Effective Date.</w:t>
      </w:r>
    </w:p>
    <w:p>
      <w:pPr>
        <w:pStyle w:val="TextBody"/>
        <w:bidi w:val="0"/>
        <w:spacing w:before="0" w:after="0"/>
        <w:ind w:left="0" w:right="0" w:firstLine="720"/>
        <w:jc w:val="both"/>
        <w:rPr/>
      </w:pPr>
      <w:r>
        <w:rPr/>
      </w:r>
    </w:p>
    <w:tbl>
      <w:tblPr>
        <w:tblW w:w="5203" w:type="dxa"/>
        <w:jc w:val="left"/>
        <w:tblInd w:w="0" w:type="dxa"/>
        <w:tblLayout w:type="fixed"/>
        <w:tblCellMar>
          <w:top w:w="28" w:type="dxa"/>
          <w:left w:w="28" w:type="dxa"/>
          <w:bottom w:w="28" w:type="dxa"/>
          <w:right w:w="28" w:type="dxa"/>
        </w:tblCellMar>
      </w:tblPr>
      <w:tblGrid>
        <w:gridCol w:w="1119"/>
        <w:gridCol w:w="984"/>
        <w:gridCol w:w="986"/>
        <w:gridCol w:w="619"/>
        <w:gridCol w:w="619"/>
        <w:gridCol w:w="876"/>
      </w:tblGrid>
      <w:tr>
        <w:trPr/>
        <w:tc>
          <w:tcPr>
            <w:tcW w:w="111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7" w:before="0" w:after="0"/>
              <w:jc w:val="left"/>
              <w:rPr>
                <w:rFonts w:ascii="Times New Roman;serif" w:hAnsi="Times New Roman;serif"/>
                <w:b/>
                <w:color w:val="000000"/>
                <w:sz w:val="20"/>
              </w:rPr>
            </w:pPr>
            <w:r>
              <w:rPr>
                <w:rFonts w:ascii="Times New Roman;serif" w:hAnsi="Times New Roman;serif"/>
                <w:b/>
                <w:color w:val="000000"/>
                <w:sz w:val="20"/>
              </w:rPr>
              <w:t>CONTEXT THERAPEUTICS INC.</w:t>
            </w:r>
          </w:p>
          <w:p>
            <w:pPr>
              <w:pStyle w:val="TableContents"/>
              <w:bidi w:val="0"/>
              <w:spacing w:before="0" w:after="0"/>
              <w:jc w:val="left"/>
              <w:rPr/>
            </w:pPr>
            <w:r>
              <w:rPr/>
            </w:r>
          </w:p>
          <w:p>
            <w:pPr>
              <w:pStyle w:val="TableContents"/>
              <w:bidi w:val="0"/>
              <w:spacing w:lineRule="auto" w:line="307"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Martin Lehr </w:t>
            </w:r>
            <w:r>
              <w:rPr>
                <w:rFonts w:ascii="Times New Roman;serif" w:hAnsi="Times New Roman;serif"/>
                <w:b w:val="false"/>
                <w:color w:val="000000"/>
                <w:sz w:val="20"/>
              </w:rPr>
              <w:br/>
              <w:t>Name: Martin Lehr</w:t>
              <w:br/>
              <w:t>Title: Chief Executive Officer</w:t>
            </w:r>
          </w:p>
        </w:tc>
        <w:tc>
          <w:tcPr>
            <w:tcW w:w="211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7" w:before="0" w:after="0"/>
              <w:jc w:val="left"/>
              <w:rPr>
                <w:rFonts w:ascii="Times New Roman;serif" w:hAnsi="Times New Roman;serif"/>
                <w:b/>
                <w:color w:val="000000"/>
                <w:sz w:val="20"/>
              </w:rPr>
            </w:pPr>
            <w:r>
              <w:rPr>
                <w:rFonts w:ascii="Times New Roman;serif" w:hAnsi="Times New Roman;serif"/>
                <w:b/>
                <w:color w:val="000000"/>
                <w:sz w:val="20"/>
              </w:rPr>
              <w:t xml:space="preserve">Jennifer Minai-Azary </w:t>
            </w:r>
          </w:p>
          <w:p>
            <w:pPr>
              <w:pStyle w:val="TableContents"/>
              <w:bidi w:val="0"/>
              <w:spacing w:before="0" w:after="0"/>
              <w:jc w:val="left"/>
              <w:rPr/>
            </w:pPr>
            <w:r>
              <w:rPr/>
            </w:r>
          </w:p>
          <w:p>
            <w:pPr>
              <w:pStyle w:val="TableContents"/>
              <w:bidi w:val="0"/>
              <w:spacing w:lineRule="auto" w:line="307"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Jennifer Minai-Azary</w:t>
            </w:r>
          </w:p>
        </w:tc>
      </w:tr>
    </w:tbl>
    <w:p>
      <w:pPr>
        <w:pStyle w:val="TextBody"/>
        <w:bidi w:val="0"/>
        <w:spacing w:before="0" w:after="0"/>
        <w:jc w:val="center"/>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7" w:before="0" w:after="0"/>
        <w:jc w:val="right"/>
        <w:rPr>
          <w:rFonts w:ascii="Times New Roman;serif" w:hAnsi="Times New Roman;serif"/>
          <w:b w:val="false"/>
          <w:color w:val="000000"/>
          <w:sz w:val="20"/>
        </w:rPr>
      </w:pPr>
      <w:r>
        <w:rPr>
          <w:rFonts w:ascii="Times New Roman;serif" w:hAnsi="Times New Roman;serif"/>
          <w:b w:val="false"/>
          <w:color w:val="000000"/>
          <w:sz w:val="20"/>
        </w:rPr>
        <w:t>Exhibit 10.3</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07"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FIRST AMENDMENT TO EMPLOYMENT AGREEMENT</w:t>
      </w:r>
    </w:p>
    <w:p>
      <w:pPr>
        <w:pStyle w:val="TextBody"/>
        <w:bidi w:val="0"/>
        <w:spacing w:lineRule="auto" w:line="307" w:before="0" w:after="0"/>
        <w:ind w:left="0" w:right="0" w:firstLine="720"/>
        <w:jc w:val="both"/>
        <w:rPr/>
      </w:pPr>
      <w:r>
        <w:rPr>
          <w:rFonts w:ascii="Times New Roman;serif" w:hAnsi="Times New Roman;serif"/>
          <w:b w:val="false"/>
          <w:color w:val="000000"/>
          <w:sz w:val="20"/>
        </w:rPr>
        <w:t>This FIRST AMENDMENT TO THE EMPLOYMENT AGREEMENT</w:t>
      </w:r>
      <w:r>
        <w:rPr>
          <w:color w:val="000000"/>
        </w:rPr>
        <w:t xml:space="preserve"> </w:t>
      </w:r>
      <w:r>
        <w:rPr>
          <w:rFonts w:ascii="Times New Roman;serif" w:hAnsi="Times New Roman;serif"/>
          <w:b w:val="false"/>
          <w:color w:val="000000"/>
          <w:sz w:val="20"/>
        </w:rPr>
        <w:t>(“</w:t>
      </w:r>
      <w:r>
        <w:rPr>
          <w:rFonts w:ascii="Times New Roman;serif" w:hAnsi="Times New Roman;serif"/>
          <w:b/>
          <w:color w:val="000000"/>
          <w:sz w:val="20"/>
        </w:rPr>
        <w:t>Amendment</w:t>
      </w:r>
      <w:r>
        <w:rPr>
          <w:color w:val="000000"/>
        </w:rPr>
        <w: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is made and entered into effective as of this 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of August, 2026 (“</w:t>
      </w:r>
      <w:r>
        <w:rPr>
          <w:rFonts w:ascii="Times New Roman;serif" w:hAnsi="Times New Roman;serif"/>
          <w:b/>
          <w:color w:val="000000"/>
          <w:sz w:val="20"/>
        </w:rPr>
        <w:t>Effective Date</w:t>
      </w:r>
      <w:r>
        <w:rPr>
          <w:color w:val="000000"/>
        </w:rPr>
        <w:t>”</w:t>
      </w:r>
      <w:r>
        <w:rPr>
          <w:rFonts w:ascii="Times New Roman;serif" w:hAnsi="Times New Roman;serif"/>
          <w:b w:val="false"/>
          <w:color w:val="000000"/>
          <w:sz w:val="20"/>
        </w:rPr>
        <w:t>) by and between Context Therapeutics Inc.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xml:space="preserve">) and </w:t>
      </w:r>
      <w:r>
        <w:rPr>
          <w:rFonts w:ascii="Times New Roman;serif" w:hAnsi="Times New Roman;serif"/>
          <w:b w:val="false"/>
          <w:color w:val="2A2A2A"/>
          <w:sz w:val="20"/>
        </w:rPr>
        <w:t>Alex Levit</w:t>
      </w:r>
      <w:r>
        <w:rPr>
          <w:color w:val="000000"/>
        </w:rPr>
        <w:t xml:space="preserve"> </w:t>
      </w:r>
      <w:r>
        <w:rPr>
          <w:rFonts w:ascii="Times New Roman;serif" w:hAnsi="Times New Roman;serif"/>
          <w:b w:val="false"/>
          <w:color w:val="000000"/>
          <w:sz w:val="20"/>
        </w:rPr>
        <w:t>(“</w:t>
      </w:r>
      <w:r>
        <w:rPr>
          <w:rFonts w:ascii="Times New Roman;serif" w:hAnsi="Times New Roman;serif"/>
          <w:b/>
          <w:color w:val="000000"/>
          <w:sz w:val="20"/>
        </w:rPr>
        <w:t>Executive</w:t>
      </w:r>
      <w:r>
        <w:rPr>
          <w:color w:val="000000"/>
        </w:rPr>
        <w:t>”</w:t>
      </w:r>
      <w:r>
        <w:rPr>
          <w:rFonts w:ascii="Times New Roman;serif" w:hAnsi="Times New Roman;serif"/>
          <w:b w:val="false"/>
          <w:color w:val="000000"/>
          <w:sz w:val="20"/>
        </w:rPr>
        <w:t>). The Company and Executive are each referred to herein as a “</w:t>
      </w:r>
      <w:r>
        <w:rPr>
          <w:rFonts w:ascii="Times New Roman;serif" w:hAnsi="Times New Roman;serif"/>
          <w:b/>
          <w:color w:val="000000"/>
          <w:sz w:val="20"/>
        </w:rPr>
        <w:t>Party</w:t>
      </w:r>
      <w:r>
        <w:rPr>
          <w:color w:val="000000"/>
        </w:rPr>
        <w:t xml:space="preserve">” </w:t>
      </w:r>
      <w:r>
        <w:rPr>
          <w:rFonts w:ascii="Times New Roman;serif" w:hAnsi="Times New Roman;serif"/>
          <w:b w:val="false"/>
          <w:color w:val="000000"/>
          <w:sz w:val="20"/>
        </w:rPr>
        <w:t>or together as the “</w:t>
      </w:r>
      <w:r>
        <w:rPr>
          <w:rFonts w:ascii="Times New Roman;serif" w:hAnsi="Times New Roman;serif"/>
          <w:b/>
          <w:color w:val="000000"/>
          <w:sz w:val="20"/>
        </w:rPr>
        <w:t>Parties</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307" w:before="0" w:after="0"/>
        <w:jc w:val="both"/>
        <w:rPr/>
      </w:pPr>
      <w:r>
        <w:rPr>
          <w:color w:val="000000"/>
        </w:rPr>
        <w:t>    </w:t>
      </w:r>
      <w:r>
        <w:rPr>
          <w:rFonts w:ascii="Times New Roman;serif" w:hAnsi="Times New Roman;serif"/>
          <w:b w:val="false"/>
          <w:color w:val="000000"/>
          <w:sz w:val="20"/>
        </w:rPr>
        <w:t>WHEREAS, the Company and Executive are parties to an employment agreement dated August 13, 2021 (the “</w:t>
      </w:r>
      <w:r>
        <w:rPr>
          <w:rFonts w:ascii="Times New Roman;serif" w:hAnsi="Times New Roman;serif"/>
          <w:b/>
          <w:color w:val="000000"/>
          <w:sz w:val="20"/>
        </w:rPr>
        <w:t>Employment Agreement</w:t>
      </w:r>
      <w:r>
        <w:rPr>
          <w:color w:val="000000"/>
        </w:rPr>
        <w:t>”</w:t>
      </w:r>
      <w:r>
        <w:rPr>
          <w:rFonts w:ascii="Times New Roman;serif" w:hAnsi="Times New Roman;serif"/>
          <w:b w:val="false"/>
          <w:color w:val="000000"/>
          <w:sz w:val="20"/>
        </w:rPr>
        <w:t>); and</w:t>
      </w:r>
    </w:p>
    <w:p>
      <w:pPr>
        <w:pStyle w:val="TextBody"/>
        <w:bidi w:val="0"/>
        <w:spacing w:before="0" w:after="0"/>
        <w:jc w:val="both"/>
        <w:rPr/>
      </w:pPr>
      <w:r>
        <w:rPr/>
      </w:r>
    </w:p>
    <w:p>
      <w:pPr>
        <w:pStyle w:val="TextBody"/>
        <w:bidi w:val="0"/>
        <w:spacing w:lineRule="auto" w:line="307" w:before="0" w:after="0"/>
        <w:jc w:val="both"/>
        <w:rPr>
          <w:color w:val="000000"/>
        </w:rPr>
      </w:pPr>
      <w:r>
        <w:rPr>
          <w:color w:val="000000"/>
        </w:rPr>
        <w:t>    </w:t>
      </w:r>
      <w:r>
        <w:rPr>
          <w:rFonts w:ascii="Times New Roman;serif" w:hAnsi="Times New Roman;serif"/>
          <w:b w:val="false"/>
          <w:color w:val="000000"/>
          <w:sz w:val="20"/>
        </w:rPr>
        <w:t>WHEREAS, the Parties wish to amend the Employment Agreement with this Amendment.</w:t>
      </w:r>
    </w:p>
    <w:p>
      <w:pPr>
        <w:pStyle w:val="TextBody"/>
        <w:bidi w:val="0"/>
        <w:spacing w:before="0" w:after="0"/>
        <w:jc w:val="both"/>
        <w:rPr/>
      </w:pPr>
      <w:r>
        <w:rPr/>
      </w:r>
    </w:p>
    <w:p>
      <w:pPr>
        <w:pStyle w:val="TextBody"/>
        <w:bidi w:val="0"/>
        <w:spacing w:lineRule="auto" w:line="307"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NOW, THEREFORE, in consideration of the mutual covenants contained and incorporated herein and other good and valuable consideration, the receipt and sufficiency of which are hereby acknowledged, the Parties, intending to be legally bound, hereby expressly covenant and agree as follows:</w:t>
      </w:r>
    </w:p>
    <w:p>
      <w:pPr>
        <w:pStyle w:val="TextBody"/>
        <w:bidi w:val="0"/>
        <w:spacing w:lineRule="auto" w:line="307" w:before="0" w:after="240"/>
        <w:jc w:val="both"/>
        <w:rPr/>
      </w:pPr>
      <w:r>
        <w:rPr>
          <w:rFonts w:ascii="Times New Roman;serif" w:hAnsi="Times New Roman;serif"/>
          <w:b/>
          <w:color w:val="000000"/>
          <w:sz w:val="20"/>
        </w:rPr>
        <w:t>1.</w:t>
      </w:r>
      <w:r>
        <w:rPr>
          <w:rFonts w:ascii="Times New Roman;serif" w:hAnsi="Times New Roman;serif"/>
          <w:b/>
          <w:color w:val="000000"/>
          <w:sz w:val="20"/>
          <w:u w:val="single"/>
        </w:rPr>
        <w:t>Definitions</w:t>
      </w:r>
      <w:r>
        <w:rPr>
          <w:rFonts w:ascii="Times New Roman;serif" w:hAnsi="Times New Roman;serif"/>
          <w:b w:val="false"/>
          <w:color w:val="000000"/>
          <w:sz w:val="20"/>
        </w:rPr>
        <w:t>. Capitalized terms used herein and not otherwise defined herein shall have the meanings ascribed thereto in the Employment Agreement.</w:t>
      </w:r>
    </w:p>
    <w:p>
      <w:pPr>
        <w:pStyle w:val="TextBody"/>
        <w:bidi w:val="0"/>
        <w:spacing w:lineRule="auto" w:line="307" w:before="0" w:after="240"/>
        <w:jc w:val="both"/>
        <w:rPr/>
      </w:pPr>
      <w:r>
        <w:rPr>
          <w:rFonts w:ascii="Times New Roman;serif" w:hAnsi="Times New Roman;serif"/>
          <w:b/>
          <w:color w:val="000000"/>
          <w:sz w:val="20"/>
        </w:rPr>
        <w:t>2.</w:t>
      </w:r>
      <w:r>
        <w:rPr>
          <w:rFonts w:ascii="Times New Roman;serif" w:hAnsi="Times New Roman;serif"/>
          <w:b/>
          <w:color w:val="000000"/>
          <w:sz w:val="20"/>
          <w:u w:val="single"/>
        </w:rPr>
        <w:t>Termination</w:t>
      </w:r>
      <w:r>
        <w:rPr>
          <w:rFonts w:ascii="Times New Roman;serif" w:hAnsi="Times New Roman;serif"/>
          <w:b/>
          <w:color w:val="000000"/>
          <w:sz w:val="20"/>
        </w:rPr>
        <w:t xml:space="preserve">. </w:t>
      </w:r>
      <w:r>
        <w:rPr>
          <w:rFonts w:ascii="Times New Roman;serif" w:hAnsi="Times New Roman;serif"/>
          <w:b w:val="false"/>
          <w:color w:val="000000"/>
          <w:sz w:val="20"/>
        </w:rPr>
        <w:t>The lead-in language to Section 4(d) is deleted in its entirety and is replaced as follows.</w:t>
      </w:r>
      <w:r>
        <w:rPr>
          <w:color w:val="000000"/>
        </w:rPr>
        <w:t xml:space="preserve"> </w:t>
      </w:r>
    </w:p>
    <w:p>
      <w:pPr>
        <w:pStyle w:val="TextBody"/>
        <w:bidi w:val="0"/>
        <w:spacing w:lineRule="auto" w:line="307" w:before="0" w:after="240"/>
        <w:ind w:left="0" w:right="0" w:firstLine="1440"/>
        <w:jc w:val="both"/>
        <w:rPr/>
      </w:pPr>
      <w:r>
        <w:rPr>
          <w:rFonts w:ascii="Times New Roman;serif" w:hAnsi="Times New Roman;serif"/>
          <w:b/>
          <w:color w:val="000000"/>
          <w:sz w:val="20"/>
        </w:rPr>
        <w:t>(d)</w:t>
      </w:r>
      <w:r>
        <w:rPr>
          <w:rFonts w:ascii="Times New Roman;serif" w:hAnsi="Times New Roman;serif"/>
          <w:b/>
          <w:color w:val="000000"/>
          <w:sz w:val="20"/>
          <w:u w:val="single"/>
        </w:rPr>
        <w:t>Termination Upon a Change in Control</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Notwithstanding Section 4(c) above, and in lieu of any payment owed under Section 4(c), if any, in the event that the Company (or its successor) terminates the Executive without Cause or the Executive resigns from employment with the Company for Good Reason, in each case upon a Change in Control (as such terms are defined below) or within either the three (3) month period prior to the Change in Control or the twelve (12) month period following the Change in Control, then Executive</w:t>
      </w:r>
      <w:r>
        <w:rPr>
          <w:color w:val="000000"/>
        </w:rPr>
        <w:t xml:space="preserve"> </w:t>
      </w:r>
      <w:r>
        <w:rPr>
          <w:rFonts w:ascii="Times New Roman;serif" w:hAnsi="Times New Roman;serif"/>
          <w:b w:val="false"/>
          <w:color w:val="000000"/>
          <w:sz w:val="20"/>
        </w:rPr>
        <w:t>shall be entitled to the following:</w:t>
      </w:r>
    </w:p>
    <w:p>
      <w:pPr>
        <w:pStyle w:val="TextBody"/>
        <w:bidi w:val="0"/>
        <w:spacing w:lineRule="auto" w:line="307" w:before="0" w:after="0"/>
        <w:jc w:val="both"/>
        <w:rPr/>
      </w:pPr>
      <w:r>
        <w:rPr>
          <w:rFonts w:ascii="Times New Roman;serif" w:hAnsi="Times New Roman;serif"/>
          <w:b/>
          <w:color w:val="000000"/>
          <w:sz w:val="20"/>
        </w:rPr>
        <w:t>(c.</w:t>
      </w:r>
      <w:r>
        <w:rPr>
          <w:rFonts w:ascii="Times New Roman;serif" w:hAnsi="Times New Roman;serif"/>
          <w:b/>
          <w:color w:val="000000"/>
          <w:sz w:val="20"/>
          <w:u w:val="single"/>
        </w:rPr>
        <w:t>Continued Effectiveness of the Employment Agreement</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The Employment Agreement is, and shall continue to be, in full force and effect, except as otherwise provided in this Amendment and except that all references to the Employment Agreement set forth in the Employment Agreement and any other agreements to which the parties hereto are parties that have been executed prior to the date hereof shall mean the Employment Agreement, as amended by this Amendment.</w:t>
      </w:r>
    </w:p>
    <w:p>
      <w:pPr>
        <w:pStyle w:val="TextBody"/>
        <w:bidi w:val="0"/>
        <w:spacing w:before="0" w:after="0"/>
        <w:jc w:val="both"/>
        <w:rPr/>
      </w:pPr>
      <w:r>
        <w:rPr/>
      </w:r>
    </w:p>
    <w:p>
      <w:pPr>
        <w:pStyle w:val="TextBody"/>
        <w:bidi w:val="0"/>
        <w:spacing w:lineRule="auto" w:line="307" w:before="0" w:after="0"/>
        <w:jc w:val="both"/>
        <w:rPr/>
      </w:pPr>
      <w:r>
        <w:rPr>
          <w:rFonts w:ascii="Times New Roman;serif" w:hAnsi="Times New Roman;serif"/>
          <w:b/>
          <w:color w:val="000000"/>
          <w:sz w:val="20"/>
        </w:rPr>
        <w:t>(d.</w:t>
      </w:r>
      <w:r>
        <w:rPr>
          <w:rFonts w:ascii="Times New Roman;serif" w:hAnsi="Times New Roman;serif"/>
          <w:b/>
          <w:color w:val="000000"/>
          <w:sz w:val="20"/>
          <w:u w:val="single"/>
        </w:rPr>
        <w:t>Miscellaneous</w:t>
      </w:r>
      <w:r>
        <w:rPr>
          <w:rFonts w:ascii="Times New Roman;serif" w:hAnsi="Times New Roman;serif"/>
          <w:b/>
          <w:color w:val="000000"/>
          <w:sz w:val="20"/>
        </w:rPr>
        <w:t>.</w:t>
      </w:r>
      <w:r>
        <w:rPr>
          <w:color w:val="000000"/>
        </w:rPr>
        <w:t xml:space="preserve"> </w:t>
      </w:r>
    </w:p>
    <w:p>
      <w:pPr>
        <w:pStyle w:val="TextBody"/>
        <w:bidi w:val="0"/>
        <w:spacing w:before="0" w:after="0"/>
        <w:jc w:val="both"/>
        <w:rPr/>
      </w:pPr>
      <w:r>
        <w:rPr/>
      </w:r>
    </w:p>
    <w:p>
      <w:pPr>
        <w:pStyle w:val="TextBody"/>
        <w:bidi w:val="0"/>
        <w:spacing w:lineRule="auto" w:line="307" w:before="0" w:after="0"/>
        <w:ind w:left="0" w:right="0" w:firstLine="1440"/>
        <w:jc w:val="both"/>
        <w:rPr/>
      </w:pPr>
      <w:r>
        <w:rPr>
          <w:rFonts w:ascii="Times New Roman;serif" w:hAnsi="Times New Roman;serif"/>
          <w:b/>
          <w:color w:val="000000"/>
          <w:sz w:val="20"/>
        </w:rPr>
        <w:t>(a)</w:t>
      </w:r>
      <w:r>
        <w:rPr>
          <w:rFonts w:ascii="Times New Roman;serif" w:hAnsi="Times New Roman;serif"/>
          <w:b w:val="false"/>
          <w:color w:val="000000"/>
          <w:sz w:val="20"/>
          <w:u w:val="single"/>
        </w:rPr>
        <w:t>Governing Law</w:t>
      </w:r>
      <w:r>
        <w:rPr>
          <w:rFonts w:ascii="Times New Roman;serif" w:hAnsi="Times New Roman;serif"/>
          <w:b w:val="false"/>
          <w:color w:val="000000"/>
          <w:sz w:val="20"/>
        </w:rPr>
        <w:t xml:space="preserve">. This Agreement shall be governed by and construed under the laws of the State of Delaware, without regard to principles of conflict of laws (whether in Delaware or any other jurisdiction) that would cause the application of the laws of any jurisdiction other than Delaware. </w:t>
      </w:r>
    </w:p>
    <w:p>
      <w:pPr>
        <w:pStyle w:val="TextBody"/>
        <w:bidi w:val="0"/>
        <w:spacing w:lineRule="auto" w:line="307" w:before="0" w:after="0"/>
        <w:ind w:left="0" w:right="0" w:firstLine="1440"/>
        <w:jc w:val="both"/>
        <w:rPr/>
      </w:pPr>
      <w:r>
        <w:rPr>
          <w:rFonts w:ascii="Times New Roman;serif" w:hAnsi="Times New Roman;serif"/>
          <w:b/>
          <w:color w:val="000000"/>
          <w:sz w:val="20"/>
        </w:rPr>
        <w:t>(b)</w:t>
      </w:r>
      <w:r>
        <w:rPr>
          <w:rFonts w:ascii="Times New Roman;serif" w:hAnsi="Times New Roman;serif"/>
          <w:b w:val="false"/>
          <w:color w:val="000000"/>
          <w:sz w:val="20"/>
          <w:u w:val="single"/>
        </w:rPr>
        <w:t>Counterparts</w:t>
      </w:r>
      <w:r>
        <w:rPr>
          <w:rFonts w:ascii="Times New Roman;serif" w:hAnsi="Times New Roman;serif"/>
          <w:b w:val="false"/>
          <w:color w:val="000000"/>
          <w:sz w:val="20"/>
        </w:rPr>
        <w:t>. This Amendment may be executed in one or more counterparts, each of which shall be deemed an original and all of which taken together shall constitute one and the same instrument.</w:t>
      </w:r>
    </w:p>
    <w:p>
      <w:pPr>
        <w:pStyle w:val="TextBody"/>
        <w:bidi w:val="0"/>
        <w:spacing w:lineRule="auto" w:line="307" w:before="0" w:after="0"/>
        <w:ind w:left="0" w:right="0" w:firstLine="1440"/>
        <w:jc w:val="both"/>
        <w:rPr/>
      </w:pPr>
      <w:r>
        <w:rPr>
          <w:rFonts w:ascii="Times New Roman;serif" w:hAnsi="Times New Roman;serif"/>
          <w:b/>
          <w:color w:val="000000"/>
          <w:sz w:val="20"/>
        </w:rPr>
        <w:t>(c)</w:t>
      </w:r>
      <w:r>
        <w:rPr>
          <w:rFonts w:ascii="Times New Roman;serif" w:hAnsi="Times New Roman;serif"/>
          <w:b w:val="false"/>
          <w:color w:val="000000"/>
          <w:sz w:val="20"/>
          <w:u w:val="single"/>
        </w:rPr>
        <w:t>Construction</w:t>
      </w:r>
      <w:r>
        <w:rPr>
          <w:rFonts w:ascii="Times New Roman;serif" w:hAnsi="Times New Roman;serif"/>
          <w:b w:val="false"/>
          <w:color w:val="000000"/>
          <w:sz w:val="20"/>
        </w:rPr>
        <w:t xml:space="preserve">. This Amendment shall be construed without regard to any presumption or other rule requiring construction against the drafting party. </w:t>
      </w:r>
    </w:p>
    <w:p>
      <w:pPr>
        <w:pStyle w:val="TextBody"/>
        <w:bidi w:val="0"/>
        <w:spacing w:before="0" w:after="0"/>
        <w:jc w:val="both"/>
        <w:rPr/>
      </w:pPr>
      <w:r>
        <w:rPr/>
      </w:r>
    </w:p>
    <w:p>
      <w:pPr>
        <w:pStyle w:val="TextBody"/>
        <w:bidi w:val="0"/>
        <w:spacing w:lineRule="auto" w:line="307"/>
        <w:jc w:val="center"/>
        <w:rPr>
          <w:rFonts w:ascii="Times New Roman;serif" w:hAnsi="Times New Roman;serif"/>
          <w:b w:val="false"/>
          <w:i/>
          <w:color w:val="000000"/>
          <w:sz w:val="20"/>
        </w:rPr>
      </w:pPr>
      <w:r>
        <w:rPr>
          <w:rFonts w:ascii="Times New Roman;serif" w:hAnsi="Times New Roman;serif"/>
          <w:b w:val="false"/>
          <w:i/>
          <w:color w:val="000000"/>
          <w:sz w:val="20"/>
        </w:rPr>
        <w:t>[Signature Page Follows]</w:t>
      </w:r>
    </w:p>
    <w:p>
      <w:pPr>
        <w:pStyle w:val="TextBody"/>
        <w:bidi w:val="0"/>
        <w:spacing w:lineRule="auto" w:line="307" w:before="0" w:after="0"/>
        <w:jc w:val="right"/>
        <w:rPr>
          <w:rFonts w:ascii="Times New Roman;serif" w:hAnsi="Times New Roman;serif"/>
          <w:b w:val="false"/>
          <w:color w:val="000000"/>
          <w:sz w:val="20"/>
        </w:rPr>
      </w:pPr>
      <w:r>
        <w:rPr>
          <w:rFonts w:ascii="Times New Roman;serif" w:hAnsi="Times New Roman;serif"/>
          <w:b w:val="false"/>
          <w:color w:val="000000"/>
          <w:sz w:val="20"/>
        </w:rPr>
        <w:t>Exhibit 10.3</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07"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WITNESS WHEREOF, the Company has caused this Amendment to be executed in its name and on its behalf, and Executive acknowledges understanding and acceptance of, and agrees to, the terms of this Amendment, all as of the Effective Date.</w:t>
      </w:r>
    </w:p>
    <w:p>
      <w:pPr>
        <w:pStyle w:val="TextBody"/>
        <w:bidi w:val="0"/>
        <w:spacing w:before="0" w:after="0"/>
        <w:ind w:left="0" w:right="0" w:firstLine="720"/>
        <w:jc w:val="both"/>
        <w:rPr/>
      </w:pPr>
      <w:r>
        <w:rPr/>
      </w:r>
    </w:p>
    <w:tbl>
      <w:tblPr>
        <w:tblW w:w="4349" w:type="dxa"/>
        <w:jc w:val="left"/>
        <w:tblInd w:w="0" w:type="dxa"/>
        <w:tblLayout w:type="fixed"/>
        <w:tblCellMar>
          <w:top w:w="28" w:type="dxa"/>
          <w:left w:w="28" w:type="dxa"/>
          <w:bottom w:w="28" w:type="dxa"/>
          <w:right w:w="28" w:type="dxa"/>
        </w:tblCellMar>
      </w:tblPr>
      <w:tblGrid>
        <w:gridCol w:w="1119"/>
        <w:gridCol w:w="984"/>
        <w:gridCol w:w="986"/>
        <w:gridCol w:w="369"/>
        <w:gridCol w:w="369"/>
        <w:gridCol w:w="522"/>
      </w:tblGrid>
      <w:tr>
        <w:trPr/>
        <w:tc>
          <w:tcPr>
            <w:tcW w:w="111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7" w:before="0" w:after="0"/>
              <w:jc w:val="left"/>
              <w:rPr>
                <w:rFonts w:ascii="Times New Roman;serif" w:hAnsi="Times New Roman;serif"/>
                <w:b/>
                <w:color w:val="000000"/>
                <w:sz w:val="20"/>
              </w:rPr>
            </w:pPr>
            <w:r>
              <w:rPr>
                <w:rFonts w:ascii="Times New Roman;serif" w:hAnsi="Times New Roman;serif"/>
                <w:b/>
                <w:color w:val="000000"/>
                <w:sz w:val="20"/>
              </w:rPr>
              <w:t>CONTEXT THERAPEUTICS INC.</w:t>
            </w:r>
          </w:p>
          <w:p>
            <w:pPr>
              <w:pStyle w:val="TableContents"/>
              <w:bidi w:val="0"/>
              <w:spacing w:before="0" w:after="0"/>
              <w:jc w:val="left"/>
              <w:rPr/>
            </w:pPr>
            <w:r>
              <w:rPr/>
            </w:r>
          </w:p>
          <w:p>
            <w:pPr>
              <w:pStyle w:val="TableContents"/>
              <w:bidi w:val="0"/>
              <w:spacing w:lineRule="auto" w:line="307"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Martin Lehr</w:t>
            </w:r>
            <w:r>
              <w:rPr>
                <w:rFonts w:ascii="Times New Roman;serif" w:hAnsi="Times New Roman;serif"/>
                <w:b w:val="false"/>
                <w:color w:val="000000"/>
                <w:sz w:val="20"/>
              </w:rPr>
              <w:br/>
              <w:t>Name: Martin Lehr</w:t>
              <w:br/>
              <w:t>Title: Chief Executive Officer</w:t>
            </w:r>
          </w:p>
        </w:tc>
        <w:tc>
          <w:tcPr>
            <w:tcW w:w="126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7" w:before="0" w:after="0"/>
              <w:jc w:val="left"/>
              <w:rPr>
                <w:rFonts w:ascii="Times New Roman;serif" w:hAnsi="Times New Roman;serif"/>
                <w:b/>
                <w:color w:val="000000"/>
                <w:sz w:val="20"/>
              </w:rPr>
            </w:pPr>
            <w:r>
              <w:rPr>
                <w:rFonts w:ascii="Times New Roman;serif" w:hAnsi="Times New Roman;serif"/>
                <w:b/>
                <w:color w:val="000000"/>
                <w:sz w:val="20"/>
              </w:rPr>
              <w:t>Alex Levit</w:t>
            </w:r>
          </w:p>
          <w:p>
            <w:pPr>
              <w:pStyle w:val="TableContents"/>
              <w:bidi w:val="0"/>
              <w:spacing w:before="0" w:after="0"/>
              <w:jc w:val="left"/>
              <w:rPr/>
            </w:pPr>
            <w:r>
              <w:rPr/>
            </w:r>
          </w:p>
          <w:p>
            <w:pPr>
              <w:pStyle w:val="TableContents"/>
              <w:bidi w:val="0"/>
              <w:spacing w:lineRule="auto" w:line="307"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Alex Levit</w:t>
            </w:r>
          </w:p>
        </w:tc>
      </w:tr>
    </w:tbl>
    <w:p>
      <w:pPr>
        <w:pStyle w:val="TextBody"/>
        <w:bidi w:val="0"/>
        <w:spacing w:before="0" w:after="0"/>
        <w:jc w:val="center"/>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7" w:before="0" w:after="0"/>
        <w:jc w:val="right"/>
        <w:rPr>
          <w:rFonts w:ascii="Times New Roman;serif" w:hAnsi="Times New Roman;serif"/>
          <w:b w:val="false"/>
          <w:color w:val="000000"/>
          <w:sz w:val="20"/>
        </w:rPr>
      </w:pPr>
      <w:r>
        <w:rPr>
          <w:rFonts w:ascii="Times New Roman;serif" w:hAnsi="Times New Roman;serif"/>
          <w:b w:val="false"/>
          <w:color w:val="000000"/>
          <w:sz w:val="20"/>
        </w:rPr>
        <w:t>Exhibit 10.4</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07"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FIRST AMENDMENT TO EMPLOYMENT AGREEMENT</w:t>
      </w:r>
    </w:p>
    <w:p>
      <w:pPr>
        <w:pStyle w:val="TextBody"/>
        <w:bidi w:val="0"/>
        <w:spacing w:lineRule="auto" w:line="307" w:before="0" w:after="0"/>
        <w:ind w:left="0" w:right="0" w:firstLine="720"/>
        <w:jc w:val="both"/>
        <w:rPr/>
      </w:pPr>
      <w:r>
        <w:rPr>
          <w:rFonts w:ascii="Times New Roman;serif" w:hAnsi="Times New Roman;serif"/>
          <w:b w:val="false"/>
          <w:color w:val="000000"/>
          <w:sz w:val="20"/>
        </w:rPr>
        <w:t>This FIRST AMENDMENT TO THE EMPLOYMENT AGREEMENT</w:t>
      </w:r>
      <w:r>
        <w:rPr>
          <w:color w:val="000000"/>
        </w:rPr>
        <w:t xml:space="preserve"> </w:t>
      </w:r>
      <w:r>
        <w:rPr>
          <w:rFonts w:ascii="Times New Roman;serif" w:hAnsi="Times New Roman;serif"/>
          <w:b w:val="false"/>
          <w:color w:val="000000"/>
          <w:sz w:val="20"/>
        </w:rPr>
        <w:t>(“</w:t>
      </w:r>
      <w:r>
        <w:rPr>
          <w:rFonts w:ascii="Times New Roman;serif" w:hAnsi="Times New Roman;serif"/>
          <w:b/>
          <w:color w:val="000000"/>
          <w:sz w:val="20"/>
        </w:rPr>
        <w:t>Amendment</w:t>
      </w:r>
      <w:r>
        <w:rPr>
          <w:color w:val="000000"/>
        </w:rPr>
        <w: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is made and entered into effective as of this 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of August, 2026 (“</w:t>
      </w:r>
      <w:r>
        <w:rPr>
          <w:rFonts w:ascii="Times New Roman;serif" w:hAnsi="Times New Roman;serif"/>
          <w:b/>
          <w:color w:val="000000"/>
          <w:sz w:val="20"/>
        </w:rPr>
        <w:t>Effective Date</w:t>
      </w:r>
      <w:r>
        <w:rPr>
          <w:color w:val="000000"/>
        </w:rPr>
        <w:t>”</w:t>
      </w:r>
      <w:r>
        <w:rPr>
          <w:rFonts w:ascii="Times New Roman;serif" w:hAnsi="Times New Roman;serif"/>
          <w:b w:val="false"/>
          <w:color w:val="000000"/>
          <w:sz w:val="20"/>
        </w:rPr>
        <w:t>) by and between Context Therapeutics Inc.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and Karen Chagin, M.D. (“</w:t>
      </w:r>
      <w:r>
        <w:rPr>
          <w:rFonts w:ascii="Times New Roman;serif" w:hAnsi="Times New Roman;serif"/>
          <w:b/>
          <w:color w:val="000000"/>
          <w:sz w:val="20"/>
        </w:rPr>
        <w:t>Executive</w:t>
      </w:r>
      <w:r>
        <w:rPr>
          <w:color w:val="000000"/>
        </w:rPr>
        <w:t>”</w:t>
      </w:r>
      <w:r>
        <w:rPr>
          <w:rFonts w:ascii="Times New Roman;serif" w:hAnsi="Times New Roman;serif"/>
          <w:b w:val="false"/>
          <w:color w:val="000000"/>
          <w:sz w:val="20"/>
        </w:rPr>
        <w:t>). The Company and Executive are each referred to herein as a “</w:t>
      </w:r>
      <w:r>
        <w:rPr>
          <w:rFonts w:ascii="Times New Roman;serif" w:hAnsi="Times New Roman;serif"/>
          <w:b/>
          <w:color w:val="000000"/>
          <w:sz w:val="20"/>
        </w:rPr>
        <w:t>Party</w:t>
      </w:r>
      <w:r>
        <w:rPr>
          <w:color w:val="000000"/>
        </w:rPr>
        <w:t xml:space="preserve">” </w:t>
      </w:r>
      <w:r>
        <w:rPr>
          <w:rFonts w:ascii="Times New Roman;serif" w:hAnsi="Times New Roman;serif"/>
          <w:b w:val="false"/>
          <w:color w:val="000000"/>
          <w:sz w:val="20"/>
        </w:rPr>
        <w:t>or together as the “</w:t>
      </w:r>
      <w:r>
        <w:rPr>
          <w:rFonts w:ascii="Times New Roman;serif" w:hAnsi="Times New Roman;serif"/>
          <w:b/>
          <w:color w:val="000000"/>
          <w:sz w:val="20"/>
        </w:rPr>
        <w:t>Parties</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307" w:before="0" w:after="0"/>
        <w:jc w:val="both"/>
        <w:rPr/>
      </w:pPr>
      <w:r>
        <w:rPr>
          <w:color w:val="000000"/>
        </w:rPr>
        <w:t>    </w:t>
      </w:r>
      <w:r>
        <w:rPr>
          <w:rFonts w:ascii="Times New Roman;serif" w:hAnsi="Times New Roman;serif"/>
          <w:b w:val="false"/>
          <w:color w:val="000000"/>
          <w:sz w:val="20"/>
        </w:rPr>
        <w:t>WHEREAS, the Company and Executive are parties to an employment agreement dated June 9, 2025 (the “</w:t>
      </w:r>
      <w:r>
        <w:rPr>
          <w:rFonts w:ascii="Times New Roman;serif" w:hAnsi="Times New Roman;serif"/>
          <w:b/>
          <w:color w:val="000000"/>
          <w:sz w:val="20"/>
        </w:rPr>
        <w:t>Employment Agreement</w:t>
      </w:r>
      <w:r>
        <w:rPr>
          <w:color w:val="000000"/>
        </w:rPr>
        <w:t>”</w:t>
      </w:r>
      <w:r>
        <w:rPr>
          <w:rFonts w:ascii="Times New Roman;serif" w:hAnsi="Times New Roman;serif"/>
          <w:b w:val="false"/>
          <w:color w:val="000000"/>
          <w:sz w:val="20"/>
        </w:rPr>
        <w:t>); and</w:t>
      </w:r>
    </w:p>
    <w:p>
      <w:pPr>
        <w:pStyle w:val="TextBody"/>
        <w:bidi w:val="0"/>
        <w:spacing w:before="0" w:after="0"/>
        <w:jc w:val="both"/>
        <w:rPr/>
      </w:pPr>
      <w:r>
        <w:rPr/>
      </w:r>
    </w:p>
    <w:p>
      <w:pPr>
        <w:pStyle w:val="TextBody"/>
        <w:bidi w:val="0"/>
        <w:spacing w:lineRule="auto" w:line="307" w:before="0" w:after="0"/>
        <w:jc w:val="both"/>
        <w:rPr>
          <w:color w:val="000000"/>
        </w:rPr>
      </w:pPr>
      <w:r>
        <w:rPr>
          <w:color w:val="000000"/>
        </w:rPr>
        <w:t>    </w:t>
      </w:r>
      <w:r>
        <w:rPr>
          <w:rFonts w:ascii="Times New Roman;serif" w:hAnsi="Times New Roman;serif"/>
          <w:b w:val="false"/>
          <w:color w:val="000000"/>
          <w:sz w:val="20"/>
        </w:rPr>
        <w:t>WHEREAS, the Parties wish to amend the Employment Agreement with this Amendment.</w:t>
      </w:r>
    </w:p>
    <w:p>
      <w:pPr>
        <w:pStyle w:val="TextBody"/>
        <w:bidi w:val="0"/>
        <w:spacing w:before="0" w:after="0"/>
        <w:jc w:val="both"/>
        <w:rPr/>
      </w:pPr>
      <w:r>
        <w:rPr/>
      </w:r>
    </w:p>
    <w:p>
      <w:pPr>
        <w:pStyle w:val="TextBody"/>
        <w:bidi w:val="0"/>
        <w:spacing w:lineRule="auto" w:line="307"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NOW, THEREFORE, in consideration of the mutual covenants contained and incorporated herein and other good and valuable consideration, the receipt and sufficiency of which are hereby acknowledged, the Parties, intending to be legally bound, hereby expressly covenant and agree as follows:</w:t>
      </w:r>
    </w:p>
    <w:p>
      <w:pPr>
        <w:pStyle w:val="TextBody"/>
        <w:bidi w:val="0"/>
        <w:spacing w:lineRule="auto" w:line="307" w:before="0" w:after="240"/>
        <w:jc w:val="both"/>
        <w:rPr/>
      </w:pPr>
      <w:r>
        <w:rPr>
          <w:rFonts w:ascii="Times New Roman;serif" w:hAnsi="Times New Roman;serif"/>
          <w:b/>
          <w:color w:val="000000"/>
          <w:sz w:val="20"/>
        </w:rPr>
        <w:t>1.</w:t>
      </w:r>
      <w:r>
        <w:rPr>
          <w:rFonts w:ascii="Times New Roman;serif" w:hAnsi="Times New Roman;serif"/>
          <w:b/>
          <w:color w:val="000000"/>
          <w:sz w:val="20"/>
          <w:u w:val="single"/>
        </w:rPr>
        <w:t>Definitions</w:t>
      </w:r>
      <w:r>
        <w:rPr>
          <w:rFonts w:ascii="Times New Roman;serif" w:hAnsi="Times New Roman;serif"/>
          <w:b w:val="false"/>
          <w:color w:val="000000"/>
          <w:sz w:val="20"/>
        </w:rPr>
        <w:t>. Capitalized terms used herein and not otherwise defined herein shall have the meanings ascribed thereto in the Employment Agreement.</w:t>
      </w:r>
    </w:p>
    <w:p>
      <w:pPr>
        <w:pStyle w:val="TextBody"/>
        <w:bidi w:val="0"/>
        <w:spacing w:lineRule="auto" w:line="307" w:before="0" w:after="240"/>
        <w:jc w:val="both"/>
        <w:rPr/>
      </w:pPr>
      <w:r>
        <w:rPr>
          <w:rFonts w:ascii="Times New Roman;serif" w:hAnsi="Times New Roman;serif"/>
          <w:b/>
          <w:color w:val="000000"/>
          <w:sz w:val="20"/>
        </w:rPr>
        <w:t>2.</w:t>
      </w:r>
      <w:r>
        <w:rPr>
          <w:rFonts w:ascii="Times New Roman;serif" w:hAnsi="Times New Roman;serif"/>
          <w:b/>
          <w:color w:val="000000"/>
          <w:sz w:val="20"/>
          <w:u w:val="single"/>
        </w:rPr>
        <w:t>Termination</w:t>
      </w:r>
      <w:r>
        <w:rPr>
          <w:rFonts w:ascii="Times New Roman;serif" w:hAnsi="Times New Roman;serif"/>
          <w:b/>
          <w:color w:val="000000"/>
          <w:sz w:val="20"/>
        </w:rPr>
        <w:t xml:space="preserve">. </w:t>
      </w:r>
      <w:r>
        <w:rPr>
          <w:rFonts w:ascii="Times New Roman;serif" w:hAnsi="Times New Roman;serif"/>
          <w:b w:val="false"/>
          <w:color w:val="000000"/>
          <w:sz w:val="20"/>
        </w:rPr>
        <w:t>The lead-in language to Section 4(d) is deleted in its entirety and is replaced as follows.</w:t>
      </w:r>
      <w:r>
        <w:rPr>
          <w:color w:val="000000"/>
        </w:rPr>
        <w:t xml:space="preserve"> </w:t>
      </w:r>
    </w:p>
    <w:p>
      <w:pPr>
        <w:pStyle w:val="TextBody"/>
        <w:bidi w:val="0"/>
        <w:spacing w:lineRule="auto" w:line="307" w:before="0" w:after="240"/>
        <w:ind w:left="0" w:right="0" w:firstLine="1440"/>
        <w:jc w:val="both"/>
        <w:rPr/>
      </w:pPr>
      <w:r>
        <w:rPr>
          <w:rFonts w:ascii="Times New Roman;serif" w:hAnsi="Times New Roman;serif"/>
          <w:b/>
          <w:color w:val="000000"/>
          <w:sz w:val="20"/>
        </w:rPr>
        <w:t>(d)</w:t>
      </w:r>
      <w:r>
        <w:rPr>
          <w:rFonts w:ascii="Times New Roman;serif" w:hAnsi="Times New Roman;serif"/>
          <w:b/>
          <w:color w:val="000000"/>
          <w:sz w:val="20"/>
          <w:u w:val="single"/>
        </w:rPr>
        <w:t>Termination Upon a Change in Control</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Notwithstanding Section 4(c) above, and in lieu of any payment owed under Section 4(c), if any, in the event that the Company (or its successor) terminates the Executive without Cause or the Executive resigns from employment with the Company for Good Reason, in each case upon a Change in Control (as such terms are defined below) or within either the three (3) month period prior to the Change in Control or the twelve (12) month period following the Change in Control, then Executive</w:t>
      </w:r>
      <w:r>
        <w:rPr>
          <w:color w:val="000000"/>
        </w:rPr>
        <w:t xml:space="preserve"> </w:t>
      </w:r>
      <w:r>
        <w:rPr>
          <w:rFonts w:ascii="Times New Roman;serif" w:hAnsi="Times New Roman;serif"/>
          <w:b w:val="false"/>
          <w:color w:val="000000"/>
          <w:sz w:val="20"/>
        </w:rPr>
        <w:t>shall be entitled to the following:</w:t>
      </w:r>
    </w:p>
    <w:p>
      <w:pPr>
        <w:pStyle w:val="TextBody"/>
        <w:bidi w:val="0"/>
        <w:spacing w:lineRule="auto" w:line="307" w:before="0" w:after="0"/>
        <w:jc w:val="both"/>
        <w:rPr/>
      </w:pPr>
      <w:r>
        <w:rPr>
          <w:rFonts w:ascii="Times New Roman;serif" w:hAnsi="Times New Roman;serif"/>
          <w:b/>
          <w:color w:val="000000"/>
          <w:sz w:val="20"/>
        </w:rPr>
        <w:t>(c.</w:t>
      </w:r>
      <w:r>
        <w:rPr>
          <w:rFonts w:ascii="Times New Roman;serif" w:hAnsi="Times New Roman;serif"/>
          <w:b/>
          <w:color w:val="000000"/>
          <w:sz w:val="20"/>
          <w:u w:val="single"/>
        </w:rPr>
        <w:t>Continued Effectiveness of the Employment Agreement</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The Employment Agreement is, and shall continue to be, in full force and effect, except as otherwise provided in this Amendment and except that all references to the Employment Agreement set forth in the Employment Agreement and any other agreements to which the parties hereto are parties that have been executed prior to the date hereof shall mean the Employment Agreement, as amended by this Amendment.</w:t>
      </w:r>
    </w:p>
    <w:p>
      <w:pPr>
        <w:pStyle w:val="TextBody"/>
        <w:bidi w:val="0"/>
        <w:spacing w:before="0" w:after="0"/>
        <w:jc w:val="both"/>
        <w:rPr/>
      </w:pPr>
      <w:r>
        <w:rPr/>
      </w:r>
    </w:p>
    <w:p>
      <w:pPr>
        <w:pStyle w:val="TextBody"/>
        <w:bidi w:val="0"/>
        <w:spacing w:lineRule="auto" w:line="307" w:before="0" w:after="0"/>
        <w:jc w:val="both"/>
        <w:rPr/>
      </w:pPr>
      <w:r>
        <w:rPr>
          <w:rFonts w:ascii="Times New Roman;serif" w:hAnsi="Times New Roman;serif"/>
          <w:b/>
          <w:color w:val="000000"/>
          <w:sz w:val="20"/>
        </w:rPr>
        <w:t>(d.</w:t>
      </w:r>
      <w:r>
        <w:rPr>
          <w:rFonts w:ascii="Times New Roman;serif" w:hAnsi="Times New Roman;serif"/>
          <w:b/>
          <w:color w:val="000000"/>
          <w:sz w:val="20"/>
          <w:u w:val="single"/>
        </w:rPr>
        <w:t>Miscellaneous</w:t>
      </w:r>
      <w:r>
        <w:rPr>
          <w:rFonts w:ascii="Times New Roman;serif" w:hAnsi="Times New Roman;serif"/>
          <w:b/>
          <w:color w:val="000000"/>
          <w:sz w:val="20"/>
        </w:rPr>
        <w:t>.</w:t>
      </w:r>
      <w:r>
        <w:rPr>
          <w:color w:val="000000"/>
        </w:rPr>
        <w:t xml:space="preserve"> </w:t>
      </w:r>
    </w:p>
    <w:p>
      <w:pPr>
        <w:pStyle w:val="TextBody"/>
        <w:bidi w:val="0"/>
        <w:spacing w:before="0" w:after="0"/>
        <w:jc w:val="both"/>
        <w:rPr/>
      </w:pPr>
      <w:r>
        <w:rPr/>
      </w:r>
    </w:p>
    <w:p>
      <w:pPr>
        <w:pStyle w:val="TextBody"/>
        <w:bidi w:val="0"/>
        <w:spacing w:lineRule="auto" w:line="307" w:before="0" w:after="0"/>
        <w:ind w:left="0" w:right="0" w:firstLine="1440"/>
        <w:jc w:val="both"/>
        <w:rPr/>
      </w:pPr>
      <w:r>
        <w:rPr>
          <w:rFonts w:ascii="Times New Roman;serif" w:hAnsi="Times New Roman;serif"/>
          <w:b/>
          <w:color w:val="000000"/>
          <w:sz w:val="20"/>
        </w:rPr>
        <w:t>(a)</w:t>
      </w:r>
      <w:r>
        <w:rPr>
          <w:rFonts w:ascii="Times New Roman;serif" w:hAnsi="Times New Roman;serif"/>
          <w:b w:val="false"/>
          <w:color w:val="000000"/>
          <w:sz w:val="20"/>
          <w:u w:val="single"/>
        </w:rPr>
        <w:t>Governing Law</w:t>
      </w:r>
      <w:r>
        <w:rPr>
          <w:rFonts w:ascii="Times New Roman;serif" w:hAnsi="Times New Roman;serif"/>
          <w:b w:val="false"/>
          <w:color w:val="000000"/>
          <w:sz w:val="20"/>
        </w:rPr>
        <w:t xml:space="preserve">. This Agreement shall be governed by and construed under the laws of the State of Delaware, without regard to principles of conflict of laws (whether in Delaware or any other jurisdiction) that would cause the application of the laws of any jurisdiction other than Delaware. </w:t>
      </w:r>
    </w:p>
    <w:p>
      <w:pPr>
        <w:pStyle w:val="TextBody"/>
        <w:bidi w:val="0"/>
        <w:spacing w:lineRule="auto" w:line="307" w:before="0" w:after="0"/>
        <w:ind w:left="0" w:right="0" w:firstLine="1440"/>
        <w:jc w:val="both"/>
        <w:rPr/>
      </w:pPr>
      <w:r>
        <w:rPr>
          <w:rFonts w:ascii="Times New Roman;serif" w:hAnsi="Times New Roman;serif"/>
          <w:b/>
          <w:color w:val="000000"/>
          <w:sz w:val="20"/>
        </w:rPr>
        <w:t>(b)</w:t>
      </w:r>
      <w:r>
        <w:rPr>
          <w:rFonts w:ascii="Times New Roman;serif" w:hAnsi="Times New Roman;serif"/>
          <w:b w:val="false"/>
          <w:color w:val="000000"/>
          <w:sz w:val="20"/>
          <w:u w:val="single"/>
        </w:rPr>
        <w:t>Counterparts</w:t>
      </w:r>
      <w:r>
        <w:rPr>
          <w:rFonts w:ascii="Times New Roman;serif" w:hAnsi="Times New Roman;serif"/>
          <w:b w:val="false"/>
          <w:color w:val="000000"/>
          <w:sz w:val="20"/>
        </w:rPr>
        <w:t>. This Amendment may be executed in one or more counterparts, each of which shall be deemed an original and all of which taken together shall constitute one and the same instrument.</w:t>
      </w:r>
    </w:p>
    <w:p>
      <w:pPr>
        <w:pStyle w:val="TextBody"/>
        <w:bidi w:val="0"/>
        <w:spacing w:lineRule="auto" w:line="307" w:before="0" w:after="0"/>
        <w:ind w:left="0" w:right="0" w:firstLine="1440"/>
        <w:jc w:val="both"/>
        <w:rPr/>
      </w:pPr>
      <w:r>
        <w:rPr>
          <w:rFonts w:ascii="Times New Roman;serif" w:hAnsi="Times New Roman;serif"/>
          <w:b/>
          <w:color w:val="000000"/>
          <w:sz w:val="20"/>
        </w:rPr>
        <w:t>(c)</w:t>
      </w:r>
      <w:r>
        <w:rPr>
          <w:rFonts w:ascii="Times New Roman;serif" w:hAnsi="Times New Roman;serif"/>
          <w:b w:val="false"/>
          <w:color w:val="000000"/>
          <w:sz w:val="20"/>
          <w:u w:val="single"/>
        </w:rPr>
        <w:t>Construction</w:t>
      </w:r>
      <w:r>
        <w:rPr>
          <w:rFonts w:ascii="Times New Roman;serif" w:hAnsi="Times New Roman;serif"/>
          <w:b w:val="false"/>
          <w:color w:val="000000"/>
          <w:sz w:val="20"/>
        </w:rPr>
        <w:t xml:space="preserve">. This Amendment shall be construed without regard to any presumption or other rule requiring construction against the drafting party. </w:t>
      </w:r>
    </w:p>
    <w:p>
      <w:pPr>
        <w:pStyle w:val="TextBody"/>
        <w:bidi w:val="0"/>
        <w:spacing w:before="0" w:after="0"/>
        <w:jc w:val="both"/>
        <w:rPr/>
      </w:pPr>
      <w:r>
        <w:rPr/>
      </w:r>
    </w:p>
    <w:p>
      <w:pPr>
        <w:pStyle w:val="TextBody"/>
        <w:bidi w:val="0"/>
        <w:spacing w:lineRule="auto" w:line="307"/>
        <w:jc w:val="center"/>
        <w:rPr>
          <w:rFonts w:ascii="Times New Roman;serif" w:hAnsi="Times New Roman;serif"/>
          <w:b w:val="false"/>
          <w:i/>
          <w:color w:val="000000"/>
          <w:sz w:val="20"/>
        </w:rPr>
      </w:pPr>
      <w:r>
        <w:rPr>
          <w:rFonts w:ascii="Times New Roman;serif" w:hAnsi="Times New Roman;serif"/>
          <w:b w:val="false"/>
          <w:i/>
          <w:color w:val="000000"/>
          <w:sz w:val="20"/>
        </w:rPr>
        <w:t>[Signature Page Follows]</w:t>
      </w:r>
    </w:p>
    <w:p>
      <w:pPr>
        <w:pStyle w:val="TextBody"/>
        <w:bidi w:val="0"/>
        <w:spacing w:lineRule="auto" w:line="307" w:before="0" w:after="0"/>
        <w:jc w:val="right"/>
        <w:rPr>
          <w:rFonts w:ascii="Times New Roman;serif" w:hAnsi="Times New Roman;serif"/>
          <w:b w:val="false"/>
          <w:color w:val="000000"/>
          <w:sz w:val="20"/>
        </w:rPr>
      </w:pPr>
      <w:r>
        <w:rPr>
          <w:rFonts w:ascii="Times New Roman;serif" w:hAnsi="Times New Roman;serif"/>
          <w:b w:val="false"/>
          <w:color w:val="000000"/>
          <w:sz w:val="20"/>
        </w:rPr>
        <w:t>Exhibit 10.4</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07"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WITNESS WHEREOF, the Company has caused this Amendment to be executed in its name and on its behalf, and Executive acknowledges understanding and acceptance of, and agrees to, the terms of this Amendment, all as of the Effective Date.</w:t>
      </w:r>
    </w:p>
    <w:p>
      <w:pPr>
        <w:pStyle w:val="TextBody"/>
        <w:bidi w:val="0"/>
        <w:spacing w:before="0" w:after="0"/>
        <w:ind w:left="0" w:right="0" w:firstLine="720"/>
        <w:jc w:val="both"/>
        <w:rPr/>
      </w:pPr>
      <w:r>
        <w:rPr/>
      </w:r>
    </w:p>
    <w:tbl>
      <w:tblPr>
        <w:tblW w:w="4814" w:type="dxa"/>
        <w:jc w:val="left"/>
        <w:tblInd w:w="0" w:type="dxa"/>
        <w:tblLayout w:type="fixed"/>
        <w:tblCellMar>
          <w:top w:w="28" w:type="dxa"/>
          <w:left w:w="28" w:type="dxa"/>
          <w:bottom w:w="28" w:type="dxa"/>
          <w:right w:w="28" w:type="dxa"/>
        </w:tblCellMar>
      </w:tblPr>
      <w:tblGrid>
        <w:gridCol w:w="1119"/>
        <w:gridCol w:w="984"/>
        <w:gridCol w:w="986"/>
        <w:gridCol w:w="505"/>
        <w:gridCol w:w="505"/>
        <w:gridCol w:w="715"/>
      </w:tblGrid>
      <w:tr>
        <w:trPr/>
        <w:tc>
          <w:tcPr>
            <w:tcW w:w="111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7" w:before="0" w:after="0"/>
              <w:jc w:val="left"/>
              <w:rPr>
                <w:rFonts w:ascii="Times New Roman;serif" w:hAnsi="Times New Roman;serif"/>
                <w:b/>
                <w:color w:val="000000"/>
                <w:sz w:val="20"/>
              </w:rPr>
            </w:pPr>
            <w:r>
              <w:rPr>
                <w:rFonts w:ascii="Times New Roman;serif" w:hAnsi="Times New Roman;serif"/>
                <w:b/>
                <w:color w:val="000000"/>
                <w:sz w:val="20"/>
              </w:rPr>
              <w:t>CONTEXT THERAPEUTICS INC.</w:t>
            </w:r>
          </w:p>
          <w:p>
            <w:pPr>
              <w:pStyle w:val="TableContents"/>
              <w:bidi w:val="0"/>
              <w:spacing w:before="0" w:after="0"/>
              <w:jc w:val="left"/>
              <w:rPr/>
            </w:pPr>
            <w:r>
              <w:rPr/>
            </w:r>
          </w:p>
          <w:p>
            <w:pPr>
              <w:pStyle w:val="TableContents"/>
              <w:bidi w:val="0"/>
              <w:spacing w:lineRule="auto" w:line="307"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Martin Lehr</w:t>
            </w:r>
            <w:r>
              <w:rPr>
                <w:rFonts w:ascii="Times New Roman;serif" w:hAnsi="Times New Roman;serif"/>
                <w:b w:val="false"/>
                <w:color w:val="000000"/>
                <w:sz w:val="20"/>
              </w:rPr>
              <w:br/>
              <w:t>Name: Martin Lehr</w:t>
              <w:br/>
              <w:t>Title: Chief Executive Officer</w:t>
            </w:r>
          </w:p>
        </w:tc>
        <w:tc>
          <w:tcPr>
            <w:tcW w:w="17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7" w:before="0" w:after="0"/>
              <w:jc w:val="left"/>
              <w:rPr>
                <w:rFonts w:ascii="Times New Roman;serif" w:hAnsi="Times New Roman;serif"/>
                <w:b w:val="false"/>
                <w:color w:val="000000"/>
                <w:sz w:val="20"/>
              </w:rPr>
            </w:pPr>
            <w:r>
              <w:rPr>
                <w:rFonts w:ascii="Times New Roman;serif" w:hAnsi="Times New Roman;serif"/>
                <w:b w:val="false"/>
                <w:color w:val="000000"/>
                <w:sz w:val="20"/>
              </w:rPr>
              <w:t>Karen Chagin, M.D</w:t>
            </w:r>
          </w:p>
          <w:p>
            <w:pPr>
              <w:pStyle w:val="TableContents"/>
              <w:bidi w:val="0"/>
              <w:spacing w:before="0" w:after="0"/>
              <w:jc w:val="left"/>
              <w:rPr/>
            </w:pPr>
            <w:r>
              <w:rPr/>
            </w:r>
          </w:p>
          <w:p>
            <w:pPr>
              <w:pStyle w:val="TableContents"/>
              <w:bidi w:val="0"/>
              <w:spacing w:lineRule="auto" w:line="307"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Karen Chagin</w:t>
            </w:r>
          </w:p>
        </w:tc>
      </w:tr>
    </w:tbl>
    <w:p>
      <w:pPr>
        <w:pStyle w:val="TextBody"/>
        <w:bidi w:val="0"/>
        <w:spacing w:before="0" w:after="0"/>
        <w:jc w:val="center"/>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12"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right"/>
        <w:rPr/>
      </w:pPr>
      <w:r>
        <w:rPr/>
      </w:r>
    </w:p>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SARBANES-OXLEY ACT OF 2002</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I, Martin Lehr, certify that:</w:t>
      </w:r>
    </w:p>
    <w:p>
      <w:pPr>
        <w:pStyle w:val="TextBody"/>
        <w:bidi w:val="0"/>
        <w:spacing w:before="0" w:after="0"/>
        <w:jc w:val="left"/>
        <w:rPr/>
      </w:pPr>
      <w:r>
        <w:rPr/>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Context Therapeutics Inc.;</w:t>
      </w:r>
    </w:p>
    <w:p>
      <w:pPr>
        <w:pStyle w:val="TextBody"/>
        <w:bidi w:val="0"/>
        <w:spacing w:before="0" w:after="0"/>
        <w:jc w:val="left"/>
        <w:rPr/>
      </w:pPr>
      <w:r>
        <w:rPr/>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5377"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34"/>
        <w:gridCol w:w="134"/>
        <w:gridCol w:w="136"/>
        <w:gridCol w:w="724"/>
        <w:gridCol w:w="724"/>
        <w:gridCol w:w="102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Martin Lehr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Martin Lehr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OFFICER PURSUANT TO SECTION 302</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I, Jennifer Minai-Azary, certify that:</w:t>
      </w:r>
    </w:p>
    <w:p>
      <w:pPr>
        <w:pStyle w:val="TextBody"/>
        <w:bidi w:val="0"/>
        <w:spacing w:before="0" w:after="0"/>
        <w:jc w:val="left"/>
        <w:rPr/>
      </w:pPr>
      <w:r>
        <w:rPr/>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Context Therapeutics Inc.;</w:t>
      </w:r>
    </w:p>
    <w:p>
      <w:pPr>
        <w:pStyle w:val="TextBody"/>
        <w:bidi w:val="0"/>
        <w:spacing w:before="0" w:after="0"/>
        <w:jc w:val="left"/>
        <w:rPr/>
      </w:pPr>
      <w:r>
        <w:rPr/>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312"/>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5317"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34"/>
        <w:gridCol w:w="134"/>
        <w:gridCol w:w="136"/>
        <w:gridCol w:w="707"/>
        <w:gridCol w:w="707"/>
        <w:gridCol w:w="100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Jennifer Minai-Azary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Jennifer Minai-Azary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86"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CERTIFICATIONS PURSUANT TO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before="240" w:after="283"/>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(18 U.S.C. 1350, as adopted), Martin Lehr, Chief Executive Officer (Principal Executive Officer) of Context Therapeutics Inc. (the “Company”), and Jennifer Minai-Azary, Chief Financial Officer (Principal Financial Officer) of the Company, each hereby certifies that, to the best of his or her knowledge: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 The Company’s Quarterly Report on Form 10-Q for the quarter ended June 30, 2026 (the “Quarterly Report”), and to which this Certification is attached as Exhibit 32.1, fully complies with the requirements of Section 13(a) or Section 15(d) of the Securities Exchange Act of 1934, as amended, and</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Quarterly Report fairly presents, in all material respects, the financial condition and results of operations of the Company for the periods presented therein.</w:t>
      </w:r>
    </w:p>
    <w:p>
      <w:pPr>
        <w:pStyle w:val="TextBody"/>
        <w:bidi w:val="0"/>
        <w:spacing w:before="0" w:after="0"/>
        <w:jc w:val="both"/>
        <w:rPr/>
      </w:pPr>
      <w:r>
        <w:rPr/>
      </w:r>
    </w:p>
    <w:tbl>
      <w:tblPr>
        <w:tblW w:w="6284" w:type="dxa"/>
        <w:jc w:val="left"/>
        <w:tblInd w:w="0" w:type="dxa"/>
        <w:tblLayout w:type="fixed"/>
        <w:tblCellMar>
          <w:top w:w="28" w:type="dxa"/>
          <w:left w:w="28" w:type="dxa"/>
          <w:bottom w:w="28" w:type="dxa"/>
          <w:right w:w="28" w:type="dxa"/>
        </w:tblCellMar>
      </w:tblPr>
      <w:tblGrid>
        <w:gridCol w:w="667"/>
        <w:gridCol w:w="587"/>
        <w:gridCol w:w="590"/>
        <w:gridCol w:w="1299"/>
        <w:gridCol w:w="1299"/>
        <w:gridCol w:w="184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Martin Lehr</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Martin Lehr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Jennifer Minai-Azary</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Jennifer Minai-Azary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w:t>
            </w:r>
          </w:p>
        </w:tc>
      </w:tr>
    </w:tbl>
    <w:p>
      <w:pPr>
        <w:pStyle w:val="TextBody"/>
        <w:bidi w:val="0"/>
        <w:spacing w:lineRule="auto" w:line="386" w:before="240" w:after="283"/>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the Quarterly Report on Form 10-Q to which it relates, is not deemed filed with the Securities and Exchange Commission and is not to be incorporated by reference into any filing of Context Therapeutics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2952/000162828026020498/cntx-exhibit31archarter.htm" TargetMode="External"/><Relationship Id="rId3" Type="http://schemas.openxmlformats.org/officeDocument/2006/relationships/hyperlink" Target="https://www.sec.gov/Archives/edgar/data/1842952/000162828026045744/cntx-certificateofamendmen.htm" TargetMode="External"/><Relationship Id="rId4" Type="http://schemas.openxmlformats.org/officeDocument/2006/relationships/hyperlink" Target="https://www.sec.gov/Archives/edgar/data/1842952/000162828026045744/cntx-certificateofamendmen.htm" TargetMode="External"/><Relationship Id="rId5" Type="http://schemas.openxmlformats.org/officeDocument/2006/relationships/hyperlink" Target="https://www.sec.gov/Archives/edgar/data/1842952/000162828026045744/cntx-certificateofamendmen.htm" TargetMode="External"/><Relationship Id="rId6" Type="http://schemas.openxmlformats.org/officeDocument/2006/relationships/hyperlink" Target="https://www.sec.gov/Archives/edgar/data/1842952/000162828026045744/cntx-certificateofamendmen.htm" TargetMode="External"/><Relationship Id="rId7" Type="http://schemas.openxmlformats.org/officeDocument/2006/relationships/hyperlink" Target="https://www.sec.gov/Archives/edgar/data/1842952/000162828026045744/cntx-certificateofamendmen.htm" TargetMode="External"/><Relationship Id="rId8" Type="http://schemas.openxmlformats.org/officeDocument/2006/relationships/hyperlink" Target="https://www.sec.gov/Archives/edgar/data/1842952/000162828026045744/cntx-certificateofamendmen.htm" TargetMode="External"/><Relationship Id="rId9" Type="http://schemas.openxmlformats.org/officeDocument/2006/relationships/hyperlink" Target="https://www.sec.gov/Archives/edgar/data/1842952/000162828026045744/cntx-certificateofamendmen.htm" TargetMode="External"/><Relationship Id="rId10" Type="http://schemas.openxmlformats.org/officeDocument/2006/relationships/hyperlink" Target="https://www.sec.gov/Archives/edgar/data/1842952/000162828026045744/cntx-certificateofamendmen.htm" TargetMode="External"/><Relationship Id="rId11" Type="http://schemas.openxmlformats.org/officeDocument/2006/relationships/hyperlink" Target="https://www.sec.gov/Archives/edgar/data/1842952/000162828026045744/cntx-certificateofamendmen.htm" TargetMode="External"/><Relationship Id="rId12" Type="http://schemas.openxmlformats.org/officeDocument/2006/relationships/hyperlink" Target="https://www.sec.gov/Archives/edgar/data/1842952/000162828026045744/cntx-certificateofamendmen.htm" TargetMode="External"/><Relationship Id="rId13" Type="http://schemas.openxmlformats.org/officeDocument/2006/relationships/hyperlink" Target="https://www.sec.gov/Archives/edgar/data/1842952/000162828026045744/cntx-certificateofamendmen.htm" TargetMode="External"/><Relationship Id="rId14" Type="http://schemas.openxmlformats.org/officeDocument/2006/relationships/hyperlink" Target="https://www.sec.gov/Archives/edgar/data/1842952/000184295224000011/exhibit32context-arbylawsm.htm" TargetMode="External"/><Relationship Id="rId15" Type="http://schemas.openxmlformats.org/officeDocument/2006/relationships/hyperlink" Target="https://www.sec.gov/ix?doc=/Archives/edgar/data/0001842952/000184295224000011/cntx-20231231.htm" TargetMode="External"/><Relationship Id="rId16" Type="http://schemas.openxmlformats.org/officeDocument/2006/relationships/hyperlink" Target="https://www.sec.gov/Archives/edgar/data/1842952/000184295224000011/exhibit32context-arbylawsm.htm" TargetMode="External"/><Relationship Id="rId17" Type="http://schemas.openxmlformats.org/officeDocument/2006/relationships/hyperlink" Target="https://www.sec.gov/Archives/edgar/data/1842952/000162828026035793/exhibit101bioatla-contexta.htm" TargetMode="External"/><Relationship Id="rId18" Type="http://schemas.openxmlformats.org/officeDocument/2006/relationships/hyperlink" Target="https://www.sec.gov/Archives/edgar/data/1842952/000162828026035793/exhibit101bioatla-contexta.htm" TargetMode="External"/><Relationship Id="rId19" Type="http://schemas.openxmlformats.org/officeDocument/2006/relationships/hyperlink" Target="https://www.sec.gov/Archives/edgar/data/1842952/000162828026035793/exhibit101bioatla-contexta.htm" TargetMode="External"/><Relationship Id="rId20" Type="http://schemas.openxmlformats.org/officeDocument/2006/relationships/hyperlink" Target="https://www.sec.gov/Archives/edgar/data/1842952/000162828026035793/exhibit101bioatla-contexta.htm" TargetMode="External"/><Relationship Id="rId21" Type="http://schemas.openxmlformats.org/officeDocument/2006/relationships/hyperlink" Target="https://www.sec.gov/Archives/edgar/data/1842952/000162828026035793/exhibit101bioatla-contexta.htm" TargetMode="External"/><Relationship Id="rId22" Type="http://schemas.openxmlformats.org/officeDocument/2006/relationships/hyperlink" Target="https://www.sec.gov/Archives/edgar/data/1842952/000162828026035793/exhibit101bioatla-contexta.htm" TargetMode="External"/><Relationship Id="rId23" Type="http://schemas.openxmlformats.org/officeDocument/2006/relationships/hyperlink" Target="https://www.sec.gov/Archives/edgar/data/1842952/000162828026035793/exhibit101bioatla-contexta.htm" TargetMode="External"/><Relationship Id="rId24" Type="http://schemas.openxmlformats.org/officeDocument/2006/relationships/hyperlink" Target="https://www.sec.gov/Archives/edgar/data/1842952/000162828026035793/exhibit101bioatla-contexta.htm" TargetMode="External"/><Relationship Id="rId25" Type="http://schemas.openxmlformats.org/officeDocument/2006/relationships/hyperlink" Target="https://www.sec.gov/Archives/edgar/data/1842952/000162828026035793/exhibit101bioatla-contexta.htm" TargetMode="External"/><Relationship Id="rId26" Type="http://schemas.openxmlformats.org/officeDocument/2006/relationships/hyperlink" Target="https://www.sec.gov/Archives/edgar/data/1842952/000162828026035793/exhibit101bioatla-contexta.htm" TargetMode="External"/><Relationship Id="rId27" Type="http://schemas.openxmlformats.org/officeDocument/2006/relationships/hyperlink" Target="https://www.sec.gov/Archives/edgar/data/1842952/000162828026035793/exhibit101bioatla-contexta.htm" TargetMode="External"/><Relationship Id="rId28" Type="http://schemas.openxmlformats.org/officeDocument/2006/relationships/hyperlink" Target="https://www.sec.gov/Archives/edgar/data/1842952/000162828026035793/exhibit101bioatla-contexta.htm" TargetMode="External"/><Relationship Id="rId29" Type="http://schemas.openxmlformats.org/officeDocument/2006/relationships/hyperlink" Target="https://www.sec.gov/Archives/edgar/data/1842952/000162828026035793/exhibit101bioatla-contexta.htm" TargetMode="External"/><Relationship Id="rId30" Type="http://schemas.openxmlformats.org/officeDocument/2006/relationships/hyperlink" Target="https://www.sec.gov/Archives/edgar/data/1842952/000162828026035793/exhibit101bioatla-contexta.htm" TargetMode="External"/><Relationship Id="rId31" Type="http://schemas.openxmlformats.org/officeDocument/2006/relationships/hyperlink" Target="https://www.sec.gov/Archives/edgar/data/1842952/000162828026035793/exhibit101bioatla-contexta.htm" TargetMode="External"/><Relationship Id="rId32" Type="http://schemas.openxmlformats.org/officeDocument/2006/relationships/hyperlink" Target="https://www.sec.gov/Archives/edgar/data/1842952/000162828026035793/exhibit101bioatla-contexta.htm" TargetMode="External"/><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21682</Words>
  <Characters>122539</Characters>
  <CharactersWithSpaces>143434</CharactersWithSpaces>
  <Paragraphs>1525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