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191135</wp:posOffset>
            </wp:positionH>
            <wp:positionV relativeFrom="page">
              <wp:posOffset>294640</wp:posOffset>
            </wp:positionV>
            <wp:extent cx="71723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325" cy="5715"/>
                    </a:xfrm>
                    <a:prstGeom prst="rect">
                      <a:avLst/>
                    </a:prstGeom>
                    <a:noFill/>
                  </pic:spPr>
                </pic:pic>
              </a:graphicData>
            </a:graphic>
          </wp:anchor>
        </w:drawing>
        <w:drawing>
          <wp:anchor simplePos="0" relativeHeight="251657728" behindDoc="1" locked="0" layoutInCell="0" allowOverlap="1">
            <wp:simplePos x="0" y="0"/>
            <wp:positionH relativeFrom="page">
              <wp:posOffset>191135</wp:posOffset>
            </wp:positionH>
            <wp:positionV relativeFrom="page">
              <wp:posOffset>311785</wp:posOffset>
            </wp:positionV>
            <wp:extent cx="71723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325" cy="5715"/>
                    </a:xfrm>
                    <a:prstGeom prst="rect">
                      <a:avLst/>
                    </a:prstGeom>
                    <a:noFill/>
                  </pic:spPr>
                </pic:pic>
              </a:graphicData>
            </a:graphic>
          </wp:anchor>
        </w:drawing>
        <w:t>UNITED STATES</w:t>
      </w:r>
    </w:p>
    <w:p>
      <w:pPr>
        <w:spacing w:after="0" w:line="27" w:lineRule="exact"/>
        <w:rPr>
          <w:sz w:val="24"/>
          <w:szCs w:val="24"/>
          <w:color w:val="auto"/>
        </w:rPr>
      </w:pPr>
    </w:p>
    <w:p>
      <w:pPr>
        <w:jc w:val="center"/>
        <w:ind w:right="-27"/>
        <w:spacing w:after="0"/>
        <w:rPr>
          <w:sz w:val="20"/>
          <w:szCs w:val="20"/>
          <w:color w:val="auto"/>
        </w:rPr>
      </w:pPr>
      <w:r>
        <w:rPr>
          <w:rFonts w:ascii="Arial" w:cs="Arial" w:eastAsia="Arial" w:hAnsi="Arial"/>
          <w:sz w:val="19"/>
          <w:szCs w:val="19"/>
          <w:b w:val="1"/>
          <w:bCs w:val="1"/>
          <w:color w:val="auto"/>
        </w:rPr>
        <w:t>SECURITIES AND EXCHANGE COMMISSION</w:t>
      </w:r>
    </w:p>
    <w:p>
      <w:pPr>
        <w:spacing w:after="0" w:line="16" w:lineRule="exact"/>
        <w:rPr>
          <w:sz w:val="24"/>
          <w:szCs w:val="24"/>
          <w:color w:val="auto"/>
        </w:rPr>
      </w:pPr>
    </w:p>
    <w:p>
      <w:pPr>
        <w:jc w:val="center"/>
        <w:ind w:right="-27"/>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2628900</wp:posOffset>
            </wp:positionH>
            <wp:positionV relativeFrom="paragraph">
              <wp:posOffset>129540</wp:posOffset>
            </wp:positionV>
            <wp:extent cx="19259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5955" cy="5715"/>
                    </a:xfrm>
                    <a:prstGeom prst="rect">
                      <a:avLst/>
                    </a:prstGeom>
                    <a:noFill/>
                  </pic:spPr>
                </pic:pic>
              </a:graphicData>
            </a:graphic>
          </wp:anchor>
        </w:drawing>
      </w:r>
    </w:p>
    <w:p>
      <w:pPr>
        <w:spacing w:after="0" w:line="377" w:lineRule="exact"/>
        <w:rPr>
          <w:sz w:val="24"/>
          <w:szCs w:val="24"/>
          <w:color w:val="auto"/>
        </w:rPr>
      </w:pPr>
    </w:p>
    <w:p>
      <w:pPr>
        <w:jc w:val="center"/>
        <w:ind w:right="-27"/>
        <w:spacing w:after="0"/>
        <w:rPr>
          <w:sz w:val="20"/>
          <w:szCs w:val="20"/>
          <w:color w:val="auto"/>
        </w:rPr>
      </w:pPr>
      <w:r>
        <w:rPr>
          <w:rFonts w:ascii="Arial" w:cs="Arial" w:eastAsia="Arial" w:hAnsi="Arial"/>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2628900</wp:posOffset>
            </wp:positionH>
            <wp:positionV relativeFrom="paragraph">
              <wp:posOffset>149860</wp:posOffset>
            </wp:positionV>
            <wp:extent cx="19259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5955" cy="571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7"/>
        <w:spacing w:after="0"/>
        <w:rPr>
          <w:sz w:val="20"/>
          <w:szCs w:val="20"/>
          <w:color w:val="auto"/>
        </w:rPr>
      </w:pPr>
      <w:r>
        <w:rPr>
          <w:rFonts w:ascii="Arial" w:cs="Arial" w:eastAsia="Arial" w:hAnsi="Arial"/>
          <w:sz w:val="13"/>
          <w:szCs w:val="13"/>
          <w:b w:val="1"/>
          <w:bCs w:val="1"/>
          <w:color w:val="auto"/>
        </w:rPr>
        <w:t>CURRENT REPORT</w:t>
      </w:r>
    </w:p>
    <w:p>
      <w:pPr>
        <w:spacing w:after="0" w:line="25" w:lineRule="exact"/>
        <w:rPr>
          <w:sz w:val="24"/>
          <w:szCs w:val="24"/>
          <w:color w:val="auto"/>
        </w:rPr>
      </w:pPr>
    </w:p>
    <w:p>
      <w:pPr>
        <w:jc w:val="center"/>
        <w:ind w:right="-27"/>
        <w:spacing w:after="0"/>
        <w:rPr>
          <w:sz w:val="20"/>
          <w:szCs w:val="20"/>
          <w:color w:val="auto"/>
        </w:rPr>
      </w:pPr>
      <w:r>
        <w:rPr>
          <w:rFonts w:ascii="Arial" w:cs="Arial" w:eastAsia="Arial" w:hAnsi="Arial"/>
          <w:sz w:val="13"/>
          <w:szCs w:val="13"/>
          <w:b w:val="1"/>
          <w:bCs w:val="1"/>
          <w:color w:val="auto"/>
        </w:rPr>
        <w:t>Pursuant to Section 13 OR 15(d)</w:t>
      </w:r>
    </w:p>
    <w:p>
      <w:pPr>
        <w:spacing w:after="0" w:line="13" w:lineRule="exact"/>
        <w:rPr>
          <w:sz w:val="24"/>
          <w:szCs w:val="24"/>
          <w:color w:val="auto"/>
        </w:rPr>
      </w:pPr>
    </w:p>
    <w:p>
      <w:pPr>
        <w:jc w:val="center"/>
        <w:ind w:right="-27"/>
        <w:spacing w:after="0"/>
        <w:rPr>
          <w:sz w:val="20"/>
          <w:szCs w:val="20"/>
          <w:color w:val="auto"/>
        </w:rPr>
      </w:pPr>
      <w:r>
        <w:rPr>
          <w:rFonts w:ascii="Arial" w:cs="Arial" w:eastAsia="Arial" w:hAnsi="Arial"/>
          <w:sz w:val="13"/>
          <w:szCs w:val="13"/>
          <w:b w:val="1"/>
          <w:bCs w:val="1"/>
          <w:color w:val="auto"/>
        </w:rPr>
        <w:t>of The Securities Exchange Act of 1934</w:t>
      </w:r>
    </w:p>
    <w:p>
      <w:pPr>
        <w:spacing w:after="0" w:line="136" w:lineRule="exact"/>
        <w:rPr>
          <w:sz w:val="24"/>
          <w:szCs w:val="24"/>
          <w:color w:val="auto"/>
        </w:rPr>
      </w:pPr>
    </w:p>
    <w:p>
      <w:pPr>
        <w:jc w:val="center"/>
        <w:ind w:right="-27"/>
        <w:spacing w:after="0"/>
        <w:rPr>
          <w:sz w:val="20"/>
          <w:szCs w:val="20"/>
          <w:color w:val="auto"/>
        </w:rPr>
      </w:pPr>
      <w:r>
        <w:rPr>
          <w:rFonts w:ascii="Arial" w:cs="Arial" w:eastAsia="Arial" w:hAnsi="Arial"/>
          <w:sz w:val="13"/>
          <w:szCs w:val="13"/>
          <w:b w:val="1"/>
          <w:bCs w:val="1"/>
          <w:color w:val="auto"/>
        </w:rPr>
        <w:t>Date of Report (Date of earliest event reported): January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2628900</wp:posOffset>
            </wp:positionH>
            <wp:positionV relativeFrom="paragraph">
              <wp:posOffset>142875</wp:posOffset>
            </wp:positionV>
            <wp:extent cx="19259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5955" cy="5715"/>
                    </a:xfrm>
                    <a:prstGeom prst="rect">
                      <a:avLst/>
                    </a:prstGeom>
                    <a:noFill/>
                  </pic:spPr>
                </pic:pic>
              </a:graphicData>
            </a:graphic>
          </wp:anchor>
        </w:drawing>
      </w:r>
    </w:p>
    <w:p>
      <w:pPr>
        <w:spacing w:after="0" w:line="395" w:lineRule="exact"/>
        <w:rPr>
          <w:sz w:val="24"/>
          <w:szCs w:val="24"/>
          <w:color w:val="auto"/>
        </w:rPr>
      </w:pPr>
    </w:p>
    <w:p>
      <w:pPr>
        <w:jc w:val="center"/>
        <w:ind w:right="-27"/>
        <w:spacing w:after="0"/>
        <w:rPr>
          <w:sz w:val="20"/>
          <w:szCs w:val="20"/>
          <w:color w:val="auto"/>
        </w:rPr>
      </w:pPr>
      <w:r>
        <w:rPr>
          <w:rFonts w:ascii="Arial" w:cs="Arial" w:eastAsia="Arial" w:hAnsi="Arial"/>
          <w:sz w:val="26"/>
          <w:szCs w:val="26"/>
          <w:b w:val="1"/>
          <w:bCs w:val="1"/>
          <w:color w:val="auto"/>
        </w:rPr>
        <w:t>Context Therapeutics Inc.</w:t>
      </w:r>
    </w:p>
    <w:p>
      <w:pPr>
        <w:spacing w:after="0" w:line="96" w:lineRule="exact"/>
        <w:rPr>
          <w:sz w:val="24"/>
          <w:szCs w:val="24"/>
          <w:color w:val="auto"/>
        </w:rPr>
      </w:pPr>
    </w:p>
    <w:p>
      <w:pPr>
        <w:jc w:val="center"/>
        <w:ind w:right="-27"/>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2628900</wp:posOffset>
            </wp:positionH>
            <wp:positionV relativeFrom="paragraph">
              <wp:posOffset>130810</wp:posOffset>
            </wp:positionV>
            <wp:extent cx="19259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5955" cy="571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tbl>
      <w:tblPr>
        <w:tblLayout w:type="fixed"/>
        <w:tblInd w:w="1168" w:type="dxa"/>
        <w:tblCellMar>
          <w:top w:w="0" w:type="dxa"/>
          <w:left w:w="0" w:type="dxa"/>
          <w:bottom w:w="0" w:type="dxa"/>
          <w:right w:w="0" w:type="dxa"/>
        </w:tblCellMar>
      </w:tblPr>
      <w:tr>
        <w:trPr>
          <w:trHeight w:val="151"/>
        </w:trPr>
        <w:tc>
          <w:tcPr>
            <w:tcW w:w="2760" w:type="dxa"/>
            <w:vAlign w:val="bottom"/>
          </w:tcPr>
          <w:p>
            <w:pPr>
              <w:jc w:val="center"/>
              <w:ind w:right="1254"/>
              <w:spacing w:after="0"/>
              <w:rPr>
                <w:sz w:val="20"/>
                <w:szCs w:val="20"/>
                <w:color w:val="auto"/>
              </w:rPr>
            </w:pPr>
            <w:r>
              <w:rPr>
                <w:rFonts w:ascii="Times New Roman" w:cs="Times New Roman" w:eastAsia="Times New Roman" w:hAnsi="Times New Roman"/>
                <w:sz w:val="11"/>
                <w:szCs w:val="11"/>
                <w:b w:val="1"/>
                <w:bCs w:val="1"/>
                <w:color w:val="auto"/>
                <w:w w:val="94"/>
              </w:rPr>
              <w:t>Delaware</w:t>
            </w:r>
          </w:p>
        </w:tc>
        <w:tc>
          <w:tcPr>
            <w:tcW w:w="3540" w:type="dxa"/>
            <w:vAlign w:val="bottom"/>
          </w:tcPr>
          <w:p>
            <w:pPr>
              <w:jc w:val="right"/>
              <w:ind w:right="1534"/>
              <w:spacing w:after="0"/>
              <w:rPr>
                <w:sz w:val="20"/>
                <w:szCs w:val="20"/>
                <w:color w:val="auto"/>
              </w:rPr>
            </w:pPr>
            <w:r>
              <w:rPr>
                <w:rFonts w:ascii="Times New Roman" w:cs="Times New Roman" w:eastAsia="Times New Roman" w:hAnsi="Times New Roman"/>
                <w:sz w:val="11"/>
                <w:szCs w:val="11"/>
                <w:b w:val="1"/>
                <w:bCs w:val="1"/>
                <w:color w:val="auto"/>
              </w:rPr>
              <w:t>001-40654</w:t>
            </w:r>
          </w:p>
        </w:tc>
        <w:tc>
          <w:tcPr>
            <w:tcW w:w="2540" w:type="dxa"/>
            <w:vAlign w:val="bottom"/>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86-3738787</w:t>
            </w:r>
          </w:p>
        </w:tc>
      </w:tr>
      <w:tr>
        <w:trPr>
          <w:trHeight w:val="116"/>
        </w:trPr>
        <w:tc>
          <w:tcPr>
            <w:tcW w:w="2760" w:type="dxa"/>
            <w:vAlign w:val="bottom"/>
          </w:tcPr>
          <w:p>
            <w:pPr>
              <w:jc w:val="center"/>
              <w:ind w:right="1254"/>
              <w:spacing w:after="0"/>
              <w:rPr>
                <w:sz w:val="20"/>
                <w:szCs w:val="20"/>
                <w:color w:val="auto"/>
              </w:rPr>
            </w:pPr>
            <w:r>
              <w:rPr>
                <w:rFonts w:ascii="Times New Roman" w:cs="Times New Roman" w:eastAsia="Times New Roman" w:hAnsi="Times New Roman"/>
                <w:sz w:val="8"/>
                <w:szCs w:val="8"/>
                <w:b w:val="1"/>
                <w:bCs w:val="1"/>
                <w:color w:val="auto"/>
                <w:w w:val="96"/>
              </w:rPr>
              <w:t>(State of other jurisdiction of incorporation)</w:t>
            </w:r>
          </w:p>
        </w:tc>
        <w:tc>
          <w:tcPr>
            <w:tcW w:w="3540" w:type="dxa"/>
            <w:vAlign w:val="bottom"/>
          </w:tcPr>
          <w:p>
            <w:pPr>
              <w:jc w:val="center"/>
              <w:ind w:right="34"/>
              <w:spacing w:after="0"/>
              <w:rPr>
                <w:sz w:val="20"/>
                <w:szCs w:val="20"/>
                <w:color w:val="auto"/>
              </w:rPr>
            </w:pPr>
            <w:r>
              <w:rPr>
                <w:rFonts w:ascii="Times New Roman" w:cs="Times New Roman" w:eastAsia="Times New Roman" w:hAnsi="Times New Roman"/>
                <w:sz w:val="8"/>
                <w:szCs w:val="8"/>
                <w:b w:val="1"/>
                <w:bCs w:val="1"/>
                <w:color w:val="auto"/>
                <w:w w:val="96"/>
              </w:rPr>
              <w:t>(Commission File Number)</w:t>
            </w:r>
          </w:p>
        </w:tc>
        <w:tc>
          <w:tcPr>
            <w:tcW w:w="2540" w:type="dxa"/>
            <w:vAlign w:val="bottom"/>
          </w:tcPr>
          <w:p>
            <w:pPr>
              <w:jc w:val="center"/>
              <w:ind w:left="1294"/>
              <w:spacing w:after="0"/>
              <w:rPr>
                <w:sz w:val="20"/>
                <w:szCs w:val="20"/>
                <w:color w:val="auto"/>
              </w:rPr>
            </w:pPr>
            <w:r>
              <w:rPr>
                <w:rFonts w:ascii="Times New Roman" w:cs="Times New Roman" w:eastAsia="Times New Roman" w:hAnsi="Times New Roman"/>
                <w:sz w:val="8"/>
                <w:szCs w:val="8"/>
                <w:b w:val="1"/>
                <w:bCs w:val="1"/>
                <w:color w:val="auto"/>
                <w:w w:val="97"/>
              </w:rPr>
              <w:t>(I.R.S. Employer Identification No.)</w:t>
            </w:r>
          </w:p>
        </w:tc>
      </w:tr>
    </w:tbl>
    <w:p>
      <w:pPr>
        <w:spacing w:after="0" w:line="212" w:lineRule="exact"/>
        <w:rPr>
          <w:sz w:val="24"/>
          <w:szCs w:val="24"/>
          <w:color w:val="auto"/>
        </w:rPr>
      </w:pPr>
    </w:p>
    <w:p>
      <w:pPr>
        <w:jc w:val="center"/>
        <w:ind w:right="-27"/>
        <w:spacing w:after="0"/>
        <w:rPr>
          <w:sz w:val="20"/>
          <w:szCs w:val="20"/>
          <w:color w:val="auto"/>
        </w:rPr>
      </w:pPr>
      <w:r>
        <w:rPr>
          <w:rFonts w:ascii="Arial" w:cs="Arial" w:eastAsia="Arial" w:hAnsi="Arial"/>
          <w:sz w:val="11"/>
          <w:szCs w:val="11"/>
          <w:b w:val="1"/>
          <w:bCs w:val="1"/>
          <w:color w:val="auto"/>
        </w:rPr>
        <w:t>2001 Market Street, Suite 3915, Unit #15</w:t>
      </w:r>
    </w:p>
    <w:p>
      <w:pPr>
        <w:spacing w:after="0" w:line="18" w:lineRule="exact"/>
        <w:rPr>
          <w:sz w:val="24"/>
          <w:szCs w:val="24"/>
          <w:color w:val="auto"/>
        </w:rPr>
      </w:pPr>
    </w:p>
    <w:p>
      <w:pPr>
        <w:jc w:val="center"/>
        <w:ind w:right="-27"/>
        <w:spacing w:after="0"/>
        <w:rPr>
          <w:sz w:val="20"/>
          <w:szCs w:val="20"/>
          <w:color w:val="auto"/>
        </w:rPr>
      </w:pPr>
      <w:r>
        <w:rPr>
          <w:rFonts w:ascii="Arial" w:cs="Arial" w:eastAsia="Arial" w:hAnsi="Arial"/>
          <w:sz w:val="11"/>
          <w:szCs w:val="11"/>
          <w:b w:val="1"/>
          <w:bCs w:val="1"/>
          <w:color w:val="auto"/>
        </w:rPr>
        <w:t>Philadelphia, Pennsylvania 19103</w:t>
      </w:r>
    </w:p>
    <w:p>
      <w:pPr>
        <w:jc w:val="center"/>
        <w:ind w:right="-27"/>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141" w:lineRule="exact"/>
        <w:rPr>
          <w:sz w:val="24"/>
          <w:szCs w:val="24"/>
          <w:color w:val="auto"/>
        </w:rPr>
      </w:pPr>
    </w:p>
    <w:p>
      <w:pPr>
        <w:jc w:val="center"/>
        <w:ind w:right="-27"/>
        <w:spacing w:after="0"/>
        <w:rPr>
          <w:sz w:val="20"/>
          <w:szCs w:val="20"/>
          <w:color w:val="auto"/>
        </w:rPr>
      </w:pPr>
      <w:r>
        <w:rPr>
          <w:rFonts w:ascii="Arial" w:cs="Arial" w:eastAsia="Arial" w:hAnsi="Arial"/>
          <w:sz w:val="11"/>
          <w:szCs w:val="11"/>
          <w:b w:val="1"/>
          <w:bCs w:val="1"/>
          <w:color w:val="auto"/>
        </w:rPr>
        <w:t>(267) 225-7416</w:t>
      </w:r>
    </w:p>
    <w:p>
      <w:pPr>
        <w:spacing w:after="0" w:line="4" w:lineRule="exact"/>
        <w:rPr>
          <w:sz w:val="24"/>
          <w:szCs w:val="24"/>
          <w:color w:val="auto"/>
        </w:rPr>
      </w:pPr>
    </w:p>
    <w:p>
      <w:pPr>
        <w:jc w:val="center"/>
        <w:ind w:right="-27"/>
        <w:spacing w:after="0"/>
        <w:rPr>
          <w:sz w:val="20"/>
          <w:szCs w:val="20"/>
          <w:color w:val="auto"/>
        </w:rPr>
      </w:pPr>
      <w:r>
        <w:rPr>
          <w:rFonts w:ascii="Arial" w:cs="Arial" w:eastAsia="Arial" w:hAnsi="Arial"/>
          <w:sz w:val="8"/>
          <w:szCs w:val="8"/>
          <w:b w:val="1"/>
          <w:bCs w:val="1"/>
          <w:color w:val="auto"/>
        </w:rPr>
        <w:t>(Registrant’s telephone number, including area code)</w:t>
      </w:r>
    </w:p>
    <w:p>
      <w:pPr>
        <w:spacing w:after="0" w:line="146" w:lineRule="exact"/>
        <w:rPr>
          <w:sz w:val="24"/>
          <w:szCs w:val="24"/>
          <w:color w:val="auto"/>
        </w:rPr>
      </w:pPr>
    </w:p>
    <w:p>
      <w:pPr>
        <w:jc w:val="center"/>
        <w:ind w:right="-27"/>
        <w:spacing w:after="0"/>
        <w:rPr>
          <w:sz w:val="20"/>
          <w:szCs w:val="20"/>
          <w:color w:val="auto"/>
        </w:rPr>
      </w:pPr>
      <w:r>
        <w:rPr>
          <w:rFonts w:ascii="Arial" w:cs="Arial" w:eastAsia="Arial" w:hAnsi="Arial"/>
          <w:sz w:val="11"/>
          <w:szCs w:val="11"/>
          <w:b w:val="1"/>
          <w:bCs w:val="1"/>
          <w:color w:val="auto"/>
        </w:rPr>
        <w:t>Not Applicable</w:t>
      </w:r>
    </w:p>
    <w:p>
      <w:pPr>
        <w:spacing w:after="0" w:line="15" w:lineRule="exact"/>
        <w:rPr>
          <w:sz w:val="24"/>
          <w:szCs w:val="24"/>
          <w:color w:val="auto"/>
        </w:rPr>
      </w:pPr>
    </w:p>
    <w:p>
      <w:pPr>
        <w:jc w:val="center"/>
        <w:ind w:right="-27"/>
        <w:spacing w:after="0"/>
        <w:rPr>
          <w:sz w:val="20"/>
          <w:szCs w:val="20"/>
          <w:color w:val="auto"/>
        </w:rPr>
      </w:pPr>
      <w:r>
        <w:rPr>
          <w:rFonts w:ascii="Arial" w:cs="Arial" w:eastAsia="Arial" w:hAnsi="Arial"/>
          <w:sz w:val="7"/>
          <w:szCs w:val="7"/>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2628900</wp:posOffset>
            </wp:positionH>
            <wp:positionV relativeFrom="paragraph">
              <wp:posOffset>127635</wp:posOffset>
            </wp:positionV>
            <wp:extent cx="19259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5955" cy="5715"/>
                    </a:xfrm>
                    <a:prstGeom prst="rect">
                      <a:avLst/>
                    </a:prstGeom>
                    <a:noFill/>
                  </pic:spPr>
                </pic:pic>
              </a:graphicData>
            </a:graphic>
          </wp:anchor>
        </w:drawing>
      </w:r>
    </w:p>
    <w:p>
      <w:pPr>
        <w:spacing w:after="0" w:line="388" w:lineRule="exact"/>
        <w:rPr>
          <w:sz w:val="24"/>
          <w:szCs w:val="24"/>
          <w:color w:val="auto"/>
        </w:rPr>
      </w:pPr>
    </w:p>
    <w:p>
      <w:pPr>
        <w:ind w:left="8"/>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44" w:lineRule="exact"/>
        <w:rPr>
          <w:sz w:val="24"/>
          <w:szCs w:val="24"/>
          <w:color w:val="auto"/>
        </w:rPr>
      </w:pPr>
    </w:p>
    <w:p>
      <w:pPr>
        <w:ind w:left="348" w:hanging="348"/>
        <w:spacing w:after="0"/>
        <w:tabs>
          <w:tab w:leader="none" w:pos="34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152" w:lineRule="exact"/>
        <w:rPr>
          <w:rFonts w:ascii="MS PGothic" w:cs="MS PGothic" w:eastAsia="MS PGothic" w:hAnsi="MS PGothic"/>
          <w:sz w:val="11"/>
          <w:szCs w:val="11"/>
          <w:color w:val="auto"/>
        </w:rPr>
      </w:pPr>
    </w:p>
    <w:p>
      <w:pPr>
        <w:ind w:left="348" w:hanging="348"/>
        <w:spacing w:after="0"/>
        <w:tabs>
          <w:tab w:leader="none" w:pos="34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143" w:lineRule="exact"/>
        <w:rPr>
          <w:rFonts w:ascii="MS PGothic" w:cs="MS PGothic" w:eastAsia="MS PGothic" w:hAnsi="MS PGothic"/>
          <w:sz w:val="11"/>
          <w:szCs w:val="11"/>
          <w:color w:val="auto"/>
        </w:rPr>
      </w:pPr>
    </w:p>
    <w:p>
      <w:pPr>
        <w:ind w:left="348" w:hanging="348"/>
        <w:spacing w:after="0"/>
        <w:tabs>
          <w:tab w:leader="none" w:pos="34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143" w:lineRule="exact"/>
        <w:rPr>
          <w:rFonts w:ascii="MS PGothic" w:cs="MS PGothic" w:eastAsia="MS PGothic" w:hAnsi="MS PGothic"/>
          <w:sz w:val="11"/>
          <w:szCs w:val="11"/>
          <w:color w:val="auto"/>
        </w:rPr>
      </w:pPr>
    </w:p>
    <w:p>
      <w:pPr>
        <w:ind w:left="348" w:hanging="348"/>
        <w:spacing w:after="0"/>
        <w:tabs>
          <w:tab w:leader="none" w:pos="34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179" w:lineRule="exact"/>
        <w:rPr>
          <w:sz w:val="24"/>
          <w:szCs w:val="24"/>
          <w:color w:val="auto"/>
        </w:rPr>
      </w:pPr>
    </w:p>
    <w:tbl>
      <w:tblPr>
        <w:tblLayout w:type="fixed"/>
        <w:tblInd w:w="8" w:type="dxa"/>
        <w:tblCellMar>
          <w:top w:w="0" w:type="dxa"/>
          <w:left w:w="0" w:type="dxa"/>
          <w:bottom w:w="0" w:type="dxa"/>
          <w:right w:w="0" w:type="dxa"/>
        </w:tblCellMar>
      </w:tblPr>
      <w:tr>
        <w:trPr>
          <w:trHeight w:val="126"/>
        </w:trPr>
        <w:tc>
          <w:tcPr>
            <w:tcW w:w="3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Trading</w:t>
            </w:r>
          </w:p>
        </w:tc>
        <w:tc>
          <w:tcPr>
            <w:tcW w:w="3720" w:type="dxa"/>
            <w:vAlign w:val="bottom"/>
          </w:tcPr>
          <w:p>
            <w:pPr>
              <w:jc w:val="center"/>
              <w:spacing w:after="0"/>
              <w:rPr>
                <w:sz w:val="20"/>
                <w:szCs w:val="20"/>
                <w:color w:val="auto"/>
              </w:rPr>
            </w:pPr>
            <w:r>
              <w:rPr>
                <w:rFonts w:ascii="Arial" w:cs="Arial" w:eastAsia="Arial" w:hAnsi="Arial"/>
                <w:sz w:val="11"/>
                <w:szCs w:val="11"/>
                <w:b w:val="1"/>
                <w:bCs w:val="1"/>
                <w:color w:val="auto"/>
                <w:w w:val="98"/>
              </w:rPr>
              <w:t>Name of exchange</w:t>
            </w:r>
          </w:p>
        </w:tc>
      </w:tr>
      <w:tr>
        <w:trPr>
          <w:trHeight w:val="155"/>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 of each class</w:t>
            </w:r>
          </w:p>
        </w:tc>
        <w:tc>
          <w:tcPr>
            <w:tcW w:w="60" w:type="dxa"/>
            <w:vAlign w:val="bottom"/>
          </w:tcPr>
          <w:p>
            <w:pPr>
              <w:spacing w:after="0"/>
              <w:rPr>
                <w:sz w:val="13"/>
                <w:szCs w:val="13"/>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Symbol</w:t>
            </w:r>
          </w:p>
        </w:tc>
        <w:tc>
          <w:tcPr>
            <w:tcW w:w="60" w:type="dxa"/>
            <w:vAlign w:val="bottom"/>
          </w:tcPr>
          <w:p>
            <w:pPr>
              <w:spacing w:after="0"/>
              <w:rPr>
                <w:sz w:val="13"/>
                <w:szCs w:val="13"/>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on which registered</w:t>
            </w:r>
          </w:p>
        </w:tc>
      </w:tr>
      <w:tr>
        <w:trPr>
          <w:trHeight w:val="144"/>
        </w:trPr>
        <w:tc>
          <w:tcPr>
            <w:tcW w:w="37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Common Stock</w:t>
            </w:r>
          </w:p>
        </w:tc>
        <w:tc>
          <w:tcPr>
            <w:tcW w:w="37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3"/>
              </w:rPr>
              <w:t>CNTX</w:t>
            </w:r>
          </w:p>
        </w:tc>
        <w:tc>
          <w:tcPr>
            <w:tcW w:w="3720" w:type="dxa"/>
            <w:vAlign w:val="bottom"/>
          </w:tcPr>
          <w:p>
            <w:pPr>
              <w:jc w:val="center"/>
              <w:spacing w:after="0"/>
              <w:rPr>
                <w:sz w:val="20"/>
                <w:szCs w:val="20"/>
                <w:color w:val="auto"/>
              </w:rPr>
            </w:pPr>
            <w:r>
              <w:rPr>
                <w:rFonts w:ascii="Arial" w:cs="Arial" w:eastAsia="Arial" w:hAnsi="Arial"/>
                <w:sz w:val="11"/>
                <w:szCs w:val="11"/>
                <w:b w:val="1"/>
                <w:bCs w:val="1"/>
                <w:color w:val="auto"/>
                <w:w w:val="98"/>
              </w:rPr>
              <w:t>The Nasdaq Stock Market</w:t>
            </w:r>
          </w:p>
        </w:tc>
      </w:tr>
      <w:tr>
        <w:trPr>
          <w:trHeight w:val="162"/>
        </w:trPr>
        <w:tc>
          <w:tcPr>
            <w:tcW w:w="37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$0.001 par value per share</w:t>
            </w:r>
          </w:p>
        </w:tc>
        <w:tc>
          <w:tcPr>
            <w:tcW w:w="3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20" w:type="dxa"/>
            <w:vAlign w:val="bottom"/>
          </w:tcPr>
          <w:p>
            <w:pPr>
              <w:spacing w:after="0"/>
              <w:rPr>
                <w:sz w:val="14"/>
                <w:szCs w:val="14"/>
                <w:color w:val="auto"/>
              </w:rPr>
            </w:pPr>
          </w:p>
        </w:tc>
      </w:tr>
    </w:tbl>
    <w:p>
      <w:pPr>
        <w:spacing w:after="0" w:line="203" w:lineRule="exact"/>
        <w:rPr>
          <w:sz w:val="24"/>
          <w:szCs w:val="24"/>
          <w:color w:val="auto"/>
        </w:rPr>
      </w:pPr>
    </w:p>
    <w:p>
      <w:pPr>
        <w:ind w:left="8" w:right="280"/>
        <w:spacing w:after="0" w:line="285" w:lineRule="auto"/>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77" w:lineRule="exact"/>
        <w:rPr>
          <w:sz w:val="24"/>
          <w:szCs w:val="24"/>
          <w:color w:val="auto"/>
        </w:rPr>
      </w:pPr>
    </w:p>
    <w:p>
      <w:pPr>
        <w:ind w:left="8" w:right="20"/>
        <w:spacing w:after="0" w:line="141"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425450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100965</wp:posOffset>
            </wp:positionV>
            <wp:extent cx="717232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325"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118110</wp:posOffset>
            </wp:positionV>
            <wp:extent cx="717232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325" cy="5715"/>
                    </a:xfrm>
                    <a:prstGeom prst="rect">
                      <a:avLst/>
                    </a:prstGeom>
                    <a:noFill/>
                  </pic:spPr>
                </pic:pic>
              </a:graphicData>
            </a:graphic>
          </wp:anchor>
        </w:drawing>
      </w:r>
    </w:p>
    <w:p>
      <w:pPr>
        <w:sectPr>
          <w:pgSz w:w="11900" w:h="16838" w:orient="portrait"/>
          <w:cols w:equalWidth="0" w:num="1">
            <w:col w:w="11268"/>
          </w:cols>
          <w:pgMar w:left="292" w:top="684" w:right="339" w:bottom="1440" w:gutter="0" w:footer="0" w:header="0"/>
        </w:sectPr>
      </w:pPr>
    </w:p>
    <w:bookmarkStart w:id="1" w:name="page2"/>
    <w:bookmarkEnd w:id="1"/>
    <w:p>
      <w:pPr>
        <w:spacing w:after="0"/>
        <w:rPr>
          <w:sz w:val="20"/>
          <w:szCs w:val="20"/>
          <w:color w:val="auto"/>
        </w:rPr>
      </w:pPr>
      <w:r>
        <w:rPr>
          <w:rFonts w:ascii="Arial" w:cs="Arial" w:eastAsia="Arial" w:hAnsi="Arial"/>
          <w:sz w:val="11"/>
          <w:szCs w:val="11"/>
          <w:b w:val="1"/>
          <w:bCs w:val="1"/>
          <w:color w:val="auto"/>
        </w:rPr>
        <w:t>Item 7.01. Regulation FD Disclosure.</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1"/>
          <w:szCs w:val="11"/>
          <w:color w:val="auto"/>
        </w:rPr>
        <w:t>On January 8, 2026, Context Therapeutics Inc. (the "Company") updated its corporate presentation for use in meetings with investors, analysts and others. A copy of the corporate presentation is filed as Exhibit 99.1 to this Current Report on Form 8-K and incorporated herein by reference.</w:t>
      </w:r>
    </w:p>
    <w:p>
      <w:pPr>
        <w:spacing w:after="0" w:line="123" w:lineRule="exact"/>
        <w:rPr>
          <w:sz w:val="20"/>
          <w:szCs w:val="20"/>
          <w:color w:val="auto"/>
        </w:rPr>
      </w:pPr>
    </w:p>
    <w:p>
      <w:pPr>
        <w:ind w:right="40"/>
        <w:spacing w:after="0" w:line="253" w:lineRule="auto"/>
        <w:rPr>
          <w:sz w:val="20"/>
          <w:szCs w:val="20"/>
          <w:color w:val="auto"/>
        </w:rPr>
      </w:pPr>
      <w:r>
        <w:rPr>
          <w:rFonts w:ascii="Arial" w:cs="Arial" w:eastAsia="Arial" w:hAnsi="Arial"/>
          <w:sz w:val="11"/>
          <w:szCs w:val="11"/>
          <w:color w:val="auto"/>
        </w:rPr>
        <w:t>The information in this Item 7.01, and Exhibit 99.1 attached hereto, are being furnished and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Item 9.01. Financial Statements and Exhibits.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0"/>
          <w:szCs w:val="10"/>
          <w:b w:val="1"/>
          <w:bCs w:val="1"/>
          <w:color w:val="auto"/>
        </w:rPr>
        <w:t>d) Exhibits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20" w:type="dxa"/>
            <w:vAlign w:val="bottom"/>
          </w:tcPr>
          <w:p>
            <w:pPr>
              <w:spacing w:after="0"/>
              <w:rPr>
                <w:sz w:val="11"/>
                <w:szCs w:val="11"/>
                <w:color w:val="auto"/>
              </w:rPr>
            </w:pPr>
          </w:p>
        </w:tc>
      </w:tr>
      <w:tr>
        <w:trPr>
          <w:trHeight w:val="115"/>
        </w:trPr>
        <w:tc>
          <w:tcPr>
            <w:tcW w:w="1620" w:type="dxa"/>
            <w:vAlign w:val="bottom"/>
          </w:tcPr>
          <w:p>
            <w:pPr>
              <w:spacing w:after="0" w:line="115" w:lineRule="exact"/>
              <w:rPr>
                <w:sz w:val="20"/>
                <w:szCs w:val="20"/>
                <w:color w:val="auto"/>
              </w:rPr>
            </w:pPr>
            <w:r>
              <w:rPr>
                <w:rFonts w:ascii="Arial" w:cs="Arial" w:eastAsia="Arial" w:hAnsi="Arial"/>
                <w:sz w:val="11"/>
                <w:szCs w:val="11"/>
                <w:color w:val="auto"/>
              </w:rPr>
              <w:t>99.1</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0" w:type="dxa"/>
            <w:vAlign w:val="bottom"/>
            <w:tcBorders>
              <w:bottom w:val="single" w:sz="8" w:color="0000FF"/>
            </w:tcBorders>
          </w:tcPr>
          <w:p>
            <w:pPr>
              <w:spacing w:after="0" w:line="115" w:lineRule="exact"/>
              <w:rPr>
                <w:sz w:val="20"/>
                <w:szCs w:val="20"/>
                <w:color w:val="auto"/>
              </w:rPr>
            </w:pPr>
            <w:r>
              <w:rPr>
                <w:rFonts w:ascii="Arial" w:cs="Arial" w:eastAsia="Arial" w:hAnsi="Arial"/>
                <w:sz w:val="11"/>
                <w:szCs w:val="11"/>
                <w:color w:val="0000FF"/>
                <w:w w:val="97"/>
              </w:rPr>
              <w:t>Context Therapeutics Inc. Corporate Presentation — January 2026</w:t>
            </w:r>
          </w:p>
        </w:tc>
        <w:tc>
          <w:tcPr>
            <w:tcW w:w="6380" w:type="dxa"/>
            <w:vAlign w:val="bottom"/>
            <w:gridSpan w:val="2"/>
          </w:tcPr>
          <w:p>
            <w:pPr>
              <w:spacing w:after="0"/>
              <w:rPr>
                <w:sz w:val="9"/>
                <w:szCs w:val="9"/>
                <w:color w:val="auto"/>
              </w:rPr>
            </w:pPr>
          </w:p>
        </w:tc>
      </w:tr>
      <w:tr>
        <w:trPr>
          <w:trHeight w:val="167"/>
        </w:trPr>
        <w:tc>
          <w:tcPr>
            <w:tcW w:w="1620" w:type="dxa"/>
            <w:vAlign w:val="bottom"/>
          </w:tcPr>
          <w:p>
            <w:pPr>
              <w:spacing w:after="0"/>
              <w:rPr>
                <w:sz w:val="20"/>
                <w:szCs w:val="20"/>
                <w:color w:val="auto"/>
              </w:rPr>
            </w:pPr>
            <w:r>
              <w:rPr>
                <w:rFonts w:ascii="Arial" w:cs="Arial" w:eastAsia="Arial" w:hAnsi="Arial"/>
                <w:sz w:val="11"/>
                <w:szCs w:val="11"/>
                <w:color w:val="auto"/>
              </w:rPr>
              <w:t>104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gridSpan w:val="3"/>
          </w:tcPr>
          <w:p>
            <w:pPr>
              <w:spacing w:after="0"/>
              <w:rPr>
                <w:sz w:val="20"/>
                <w:szCs w:val="20"/>
                <w:color w:val="auto"/>
              </w:rPr>
            </w:pPr>
            <w:r>
              <w:rPr>
                <w:rFonts w:ascii="Arial" w:cs="Arial" w:eastAsia="Arial" w:hAnsi="Arial"/>
                <w:sz w:val="11"/>
                <w:szCs w:val="11"/>
                <w:color w:val="auto"/>
              </w:rPr>
              <w:t>Cover Page Interactive Data File (embedded within the inline XBRL document)</w:t>
            </w:r>
          </w:p>
        </w:tc>
      </w:tr>
      <w:tr>
        <w:trPr>
          <w:trHeight w:val="1019"/>
        </w:trPr>
        <w:tc>
          <w:tcPr>
            <w:tcW w:w="1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95"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1"/>
          <w:szCs w:val="11"/>
          <w:b w:val="1"/>
          <w:bCs w:val="1"/>
          <w:color w:val="auto"/>
        </w:rPr>
        <w:t>SIGNATURES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640" w:type="dxa"/>
            <w:vAlign w:val="bottom"/>
          </w:tcPr>
          <w:p>
            <w:pPr>
              <w:spacing w:after="0"/>
              <w:rPr>
                <w:sz w:val="20"/>
                <w:szCs w:val="20"/>
                <w:color w:val="auto"/>
              </w:rPr>
            </w:pPr>
            <w:r>
              <w:rPr>
                <w:rFonts w:ascii="Arial" w:cs="Arial" w:eastAsia="Arial" w:hAnsi="Arial"/>
                <w:sz w:val="11"/>
                <w:szCs w:val="11"/>
                <w:color w:val="auto"/>
              </w:rPr>
              <w:t>Dated: January 8, 2026</w:t>
            </w:r>
          </w:p>
        </w:tc>
        <w:tc>
          <w:tcPr>
            <w:tcW w:w="7640" w:type="dxa"/>
            <w:vAlign w:val="bottom"/>
            <w:gridSpan w:val="2"/>
          </w:tcPr>
          <w:p>
            <w:pPr>
              <w:ind w:left="2520"/>
              <w:spacing w:after="0"/>
              <w:rPr>
                <w:sz w:val="20"/>
                <w:szCs w:val="20"/>
                <w:color w:val="auto"/>
              </w:rPr>
            </w:pPr>
            <w:r>
              <w:rPr>
                <w:rFonts w:ascii="Arial" w:cs="Arial" w:eastAsia="Arial" w:hAnsi="Arial"/>
                <w:sz w:val="11"/>
                <w:szCs w:val="11"/>
                <w:b w:val="1"/>
                <w:bCs w:val="1"/>
                <w:color w:val="auto"/>
              </w:rPr>
              <w:t>Context Therapeutics Inc.</w:t>
            </w:r>
          </w:p>
        </w:tc>
      </w:tr>
      <w:tr>
        <w:trPr>
          <w:trHeight w:val="345"/>
        </w:trPr>
        <w:tc>
          <w:tcPr>
            <w:tcW w:w="3640" w:type="dxa"/>
            <w:vAlign w:val="bottom"/>
          </w:tcPr>
          <w:p>
            <w:pPr>
              <w:spacing w:after="0"/>
              <w:rPr>
                <w:sz w:val="24"/>
                <w:szCs w:val="24"/>
                <w:color w:val="auto"/>
              </w:rPr>
            </w:pPr>
          </w:p>
        </w:tc>
        <w:tc>
          <w:tcPr>
            <w:tcW w:w="3020" w:type="dxa"/>
            <w:vAlign w:val="bottom"/>
          </w:tcPr>
          <w:p>
            <w:pPr>
              <w:ind w:left="2520"/>
              <w:spacing w:after="0"/>
              <w:rPr>
                <w:sz w:val="20"/>
                <w:szCs w:val="20"/>
                <w:color w:val="auto"/>
              </w:rPr>
            </w:pPr>
            <w:r>
              <w:rPr>
                <w:rFonts w:ascii="Arial" w:cs="Arial" w:eastAsia="Arial" w:hAnsi="Arial"/>
                <w:sz w:val="11"/>
                <w:szCs w:val="11"/>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 Martin A. Lehr</w:t>
            </w:r>
          </w:p>
        </w:tc>
      </w:tr>
      <w:tr>
        <w:trPr>
          <w:trHeight w:val="142"/>
        </w:trPr>
        <w:tc>
          <w:tcPr>
            <w:tcW w:w="36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620" w:type="dxa"/>
            <w:vAlign w:val="bottom"/>
          </w:tcPr>
          <w:p>
            <w:pPr>
              <w:ind w:left="20"/>
              <w:spacing w:after="0"/>
              <w:rPr>
                <w:sz w:val="20"/>
                <w:szCs w:val="20"/>
                <w:color w:val="auto"/>
              </w:rPr>
            </w:pPr>
            <w:r>
              <w:rPr>
                <w:rFonts w:ascii="Arial" w:cs="Arial" w:eastAsia="Arial" w:hAnsi="Arial"/>
                <w:sz w:val="11"/>
                <w:szCs w:val="11"/>
                <w:color w:val="auto"/>
              </w:rPr>
              <w:t>Name: Martin A. Lehr</w:t>
            </w:r>
          </w:p>
        </w:tc>
      </w:tr>
      <w:tr>
        <w:trPr>
          <w:trHeight w:val="162"/>
        </w:trPr>
        <w:tc>
          <w:tcPr>
            <w:tcW w:w="36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620" w:type="dxa"/>
            <w:vAlign w:val="bottom"/>
          </w:tcPr>
          <w:p>
            <w:pPr>
              <w:ind w:left="20"/>
              <w:spacing w:after="0"/>
              <w:rPr>
                <w:sz w:val="20"/>
                <w:szCs w:val="20"/>
                <w:color w:val="auto"/>
              </w:rPr>
            </w:pPr>
            <w:r>
              <w:rPr>
                <w:rFonts w:ascii="Arial" w:cs="Arial" w:eastAsia="Arial" w:hAnsi="Arial"/>
                <w:sz w:val="11"/>
                <w:szCs w:val="11"/>
                <w:color w:val="auto"/>
              </w:rPr>
              <w:t>Title: Chief Executive Officer</w:t>
            </w:r>
          </w:p>
        </w:tc>
      </w:tr>
    </w:tbl>
    <w:p>
      <w:pPr>
        <w:sectPr>
          <w:pgSz w:w="11900" w:h="16838" w:orient="portrait"/>
          <w:cols w:equalWidth="0" w:num="1">
            <w:col w:w="11280"/>
          </w:cols>
          <w:pgMar w:left="300" w:top="995"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2026-01-08T06:47:33Z</dcterms:created>
  <dcterms:modified xsi:type="dcterms:W3CDTF">2026-01-08T06:47:33Z</dcterms:modified>
</cp:coreProperties>
</file>