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5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52490"/>
                    </a:xfrm>
                    <a:prstGeom prst="rect">
                      <a:avLst/>
                    </a:prstGeom>
                    <a:noFill/>
                  </pic:spPr>
                </pic:pic>
              </a:graphicData>
            </a:graphic>
          </wp:anchor>
        </w:drawing>
      </w:r>
    </w:p>
    <w:p>
      <w:pPr>
        <w:sectPr>
          <w:pgSz w:w="11900" w:h="16838" w:orient="portrait"/>
          <w:cols w:equalWidth="0" w:num="1">
            <w:col w:w="10940"/>
          </w:cols>
          <w:pgMar w:left="480" w:top="236" w:right="479" w:bottom="78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Lehr Martin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Context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CNTX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781"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3675 MARKET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PHILADELPHIA PA</w:t>
            </w:r>
          </w:p>
        </w:tc>
        <w:tc>
          <w:tcPr>
            <w:tcW w:w="740" w:type="dxa"/>
            <w:vAlign w:val="bottom"/>
          </w:tcPr>
          <w:p>
            <w:pPr>
              <w:jc w:val="right"/>
              <w:spacing w:after="0"/>
              <w:rPr>
                <w:sz w:val="20"/>
                <w:szCs w:val="20"/>
                <w:color w:val="auto"/>
              </w:rPr>
            </w:pPr>
            <w:r>
              <w:rPr>
                <w:rFonts w:ascii="Arial" w:cs="Arial" w:eastAsia="Arial" w:hAnsi="Arial"/>
                <w:sz w:val="20"/>
                <w:szCs w:val="20"/>
                <w:color w:val="0000FF"/>
              </w:rPr>
              <w:t>19104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78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700"/>
              <w:spacing w:after="0"/>
              <w:rPr>
                <w:sz w:val="20"/>
                <w:szCs w:val="20"/>
                <w:color w:val="auto"/>
              </w:rPr>
            </w:pPr>
            <w:r>
              <w:rPr>
                <w:rFonts w:ascii="Arial" w:cs="Arial" w:eastAsia="Arial" w:hAnsi="Arial"/>
                <w:sz w:val="20"/>
                <w:szCs w:val="20"/>
                <w:color w:val="0000FF"/>
              </w:rPr>
              <w:t>89,583</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200"/>
              <w:spacing w:after="0"/>
              <w:rPr>
                <w:sz w:val="20"/>
                <w:szCs w:val="20"/>
                <w:color w:val="auto"/>
              </w:rPr>
            </w:pPr>
            <w:r>
              <w:rPr>
                <w:rFonts w:ascii="Arial" w:cs="Arial" w:eastAsia="Arial" w:hAnsi="Arial"/>
                <w:sz w:val="20"/>
                <w:szCs w:val="20"/>
                <w:color w:val="0000FF"/>
                <w:w w:val="94"/>
              </w:rPr>
              <w:t>210,722</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(3)</w:t>
            </w:r>
          </w:p>
        </w:tc>
        <w:tc>
          <w:tcPr>
            <w:tcW w:w="9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80" w:type="dxa"/>
            <w:vAlign w:val="bottom"/>
            <w:gridSpan w:val="2"/>
          </w:tcPr>
          <w:p>
            <w:pPr>
              <w:ind w:left="80"/>
              <w:spacing w:after="0"/>
              <w:rPr>
                <w:sz w:val="20"/>
                <w:szCs w:val="20"/>
                <w:color w:val="auto"/>
              </w:rPr>
            </w:pPr>
            <w:r>
              <w:rPr>
                <w:rFonts w:ascii="Arial" w:cs="Arial" w:eastAsia="Arial" w:hAnsi="Arial"/>
                <w:sz w:val="20"/>
                <w:szCs w:val="20"/>
                <w:color w:val="0000FF"/>
              </w:rPr>
              <w:t>Martin Lehr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20"/>
                <w:szCs w:val="20"/>
                <w:color w:val="0000FF"/>
              </w:rPr>
              <w:t>2000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Series Seed Preferred Stock</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200"/>
              <w:spacing w:after="0"/>
              <w:rPr>
                <w:sz w:val="20"/>
                <w:szCs w:val="20"/>
                <w:color w:val="auto"/>
              </w:rPr>
            </w:pPr>
            <w:r>
              <w:rPr>
                <w:rFonts w:ascii="Arial" w:cs="Arial" w:eastAsia="Arial" w:hAnsi="Arial"/>
                <w:sz w:val="20"/>
                <w:szCs w:val="20"/>
                <w:color w:val="0000FF"/>
                <w:w w:val="94"/>
              </w:rPr>
              <w:t>586,476</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(3)</w:t>
            </w:r>
          </w:p>
        </w:tc>
        <w:tc>
          <w:tcPr>
            <w:tcW w:w="92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80" w:type="dxa"/>
            <w:vAlign w:val="bottom"/>
            <w:gridSpan w:val="2"/>
          </w:tcPr>
          <w:p>
            <w:pPr>
              <w:ind w:left="80"/>
              <w:spacing w:after="0"/>
              <w:rPr>
                <w:sz w:val="20"/>
                <w:szCs w:val="20"/>
                <w:color w:val="auto"/>
              </w:rPr>
            </w:pPr>
            <w:r>
              <w:rPr>
                <w:rFonts w:ascii="Arial" w:cs="Arial" w:eastAsia="Arial" w:hAnsi="Arial"/>
                <w:sz w:val="20"/>
                <w:szCs w:val="20"/>
                <w:color w:val="0000FF"/>
              </w:rPr>
              <w:t>Martin Lehr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20"/>
                <w:szCs w:val="20"/>
                <w:color w:val="0000FF"/>
              </w:rPr>
              <w:t>2000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sectPr>
          <w:pgSz w:w="11900" w:h="16838" w:orient="portrait"/>
          <w:cols w:equalWidth="0" w:num="1">
            <w:col w:w="10940"/>
          </w:cols>
          <w:pgMar w:left="480" w:top="236" w:right="479" w:bottom="781" w:gutter="0" w:footer="0" w:header="0"/>
          <w:type w:val="continuous"/>
        </w:sectPr>
      </w:pPr>
    </w:p>
    <w:p>
      <w:pPr>
        <w:spacing w:after="0" w:line="120" w:lineRule="exact"/>
        <w:rPr>
          <w:sz w:val="24"/>
          <w:szCs w:val="24"/>
          <w:color w:val="auto"/>
        </w:rPr>
      </w:pPr>
    </w:p>
    <w:p>
      <w:pPr>
        <w:ind w:left="100"/>
        <w:spacing w:after="0"/>
        <w:rPr>
          <w:sz w:val="20"/>
          <w:szCs w:val="20"/>
          <w:color w:val="auto"/>
        </w:rPr>
      </w:pPr>
      <w:r>
        <w:rPr>
          <w:rFonts w:ascii="Arial" w:cs="Arial" w:eastAsia="Arial" w:hAnsi="Arial"/>
          <w:sz w:val="17"/>
          <w:szCs w:val="17"/>
          <w:color w:val="0000FF"/>
        </w:rPr>
        <w:t>Warrant (right to buy)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840" w:type="dxa"/>
            <w:vAlign w:val="bottom"/>
            <w:vMerge w:val="restart"/>
          </w:tcPr>
          <w:p>
            <w:pPr>
              <w:jc w:val="right"/>
              <w:ind w:right="145"/>
              <w:spacing w:after="0"/>
              <w:rPr>
                <w:sz w:val="20"/>
                <w:szCs w:val="20"/>
                <w:color w:val="auto"/>
              </w:rPr>
            </w:pPr>
            <w:r>
              <w:rPr>
                <w:rFonts w:ascii="Arial" w:cs="Arial" w:eastAsia="Arial" w:hAnsi="Arial"/>
                <w:sz w:val="15"/>
                <w:szCs w:val="15"/>
                <w:color w:val="0000FF"/>
                <w:w w:val="95"/>
              </w:rPr>
              <w:t>12/20/2020    12/20/2030</w:t>
            </w:r>
          </w:p>
        </w:tc>
        <w:tc>
          <w:tcPr>
            <w:tcW w:w="164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p>
        </w:tc>
        <w:tc>
          <w:tcPr>
            <w:tcW w:w="980" w:type="dxa"/>
            <w:vAlign w:val="bottom"/>
            <w:vMerge w:val="restart"/>
          </w:tcPr>
          <w:p>
            <w:pPr>
              <w:jc w:val="right"/>
              <w:ind w:right="122"/>
              <w:spacing w:after="0"/>
              <w:rPr>
                <w:sz w:val="20"/>
                <w:szCs w:val="20"/>
                <w:color w:val="auto"/>
              </w:rPr>
            </w:pPr>
            <w:r>
              <w:rPr>
                <w:rFonts w:ascii="Arial" w:cs="Arial" w:eastAsia="Arial" w:hAnsi="Arial"/>
                <w:sz w:val="20"/>
                <w:szCs w:val="20"/>
                <w:color w:val="0000FF"/>
              </w:rPr>
              <w:t>52,680</w:t>
            </w:r>
          </w:p>
        </w:tc>
        <w:tc>
          <w:tcPr>
            <w:tcW w:w="960" w:type="dxa"/>
            <w:vAlign w:val="bottom"/>
            <w:vMerge w:val="restart"/>
          </w:tcPr>
          <w:p>
            <w:pPr>
              <w:jc w:val="right"/>
              <w:ind w:right="282"/>
              <w:spacing w:after="0"/>
              <w:rPr>
                <w:sz w:val="20"/>
                <w:szCs w:val="20"/>
                <w:color w:val="auto"/>
              </w:rPr>
            </w:pPr>
            <w:r>
              <w:rPr>
                <w:rFonts w:ascii="Arial" w:cs="Arial" w:eastAsia="Arial" w:hAnsi="Arial"/>
                <w:sz w:val="20"/>
                <w:szCs w:val="20"/>
                <w:color w:val="0000FF"/>
              </w:rPr>
              <w:t>7.14</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1200" w:type="dxa"/>
            <w:vAlign w:val="bottom"/>
          </w:tcPr>
          <w:p>
            <w:pPr>
              <w:ind w:left="240"/>
              <w:spacing w:after="0"/>
              <w:rPr>
                <w:sz w:val="20"/>
                <w:szCs w:val="20"/>
                <w:color w:val="auto"/>
              </w:rPr>
            </w:pPr>
            <w:r>
              <w:rPr>
                <w:rFonts w:ascii="Arial" w:cs="Arial" w:eastAsia="Arial" w:hAnsi="Arial"/>
                <w:sz w:val="20"/>
                <w:szCs w:val="20"/>
                <w:color w:val="0000FF"/>
                <w:w w:val="92"/>
              </w:rPr>
              <w:t>Martin Lehr</w:t>
            </w:r>
          </w:p>
        </w:tc>
        <w:tc>
          <w:tcPr>
            <w:tcW w:w="0" w:type="dxa"/>
            <w:vAlign w:val="bottom"/>
          </w:tcPr>
          <w:p>
            <w:pPr>
              <w:spacing w:after="0"/>
              <w:rPr>
                <w:sz w:val="1"/>
                <w:szCs w:val="1"/>
                <w:color w:val="auto"/>
              </w:rPr>
            </w:pPr>
          </w:p>
        </w:tc>
      </w:tr>
      <w:tr>
        <w:trPr>
          <w:trHeight w:val="128"/>
        </w:trPr>
        <w:tc>
          <w:tcPr>
            <w:tcW w:w="184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00" w:type="dxa"/>
            <w:vAlign w:val="bottom"/>
            <w:vMerge w:val="restart"/>
          </w:tcPr>
          <w:p>
            <w:pPr>
              <w:ind w:left="240"/>
              <w:spacing w:after="0"/>
              <w:rPr>
                <w:sz w:val="20"/>
                <w:szCs w:val="20"/>
                <w:color w:val="auto"/>
              </w:rPr>
            </w:pPr>
            <w:r>
              <w:rPr>
                <w:rFonts w:ascii="Arial" w:cs="Arial" w:eastAsia="Arial" w:hAnsi="Arial"/>
                <w:sz w:val="20"/>
                <w:szCs w:val="20"/>
                <w:color w:val="0000FF"/>
                <w:w w:val="98"/>
              </w:rPr>
              <w:t>2000 Trust</w:t>
            </w:r>
          </w:p>
        </w:tc>
        <w:tc>
          <w:tcPr>
            <w:tcW w:w="0" w:type="dxa"/>
            <w:vAlign w:val="bottom"/>
          </w:tcPr>
          <w:p>
            <w:pPr>
              <w:spacing w:after="0"/>
              <w:rPr>
                <w:sz w:val="1"/>
                <w:szCs w:val="1"/>
                <w:color w:val="auto"/>
              </w:rPr>
            </w:pPr>
          </w:p>
        </w:tc>
      </w:tr>
      <w:tr>
        <w:trPr>
          <w:trHeight w:val="120"/>
        </w:trPr>
        <w:tc>
          <w:tcPr>
            <w:tcW w:w="1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sectPr>
          <w:pgSz w:w="11900" w:h="16838" w:orient="portrait"/>
          <w:cols w:equalWidth="0" w:num="2">
            <w:col w:w="2460" w:space="720"/>
            <w:col w:w="7760"/>
          </w:cols>
          <w:pgMar w:left="480" w:top="236" w:right="479" w:bottom="781"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2840" w:type="dxa"/>
            <w:vAlign w:val="bottom"/>
          </w:tcPr>
          <w:p>
            <w:pPr>
              <w:ind w:left="100"/>
              <w:spacing w:after="0"/>
              <w:rPr>
                <w:sz w:val="20"/>
                <w:szCs w:val="20"/>
                <w:color w:val="auto"/>
              </w:rPr>
            </w:pPr>
            <w:r>
              <w:rPr>
                <w:rFonts w:ascii="Arial" w:cs="Arial" w:eastAsia="Arial" w:hAnsi="Arial"/>
                <w:sz w:val="20"/>
                <w:szCs w:val="20"/>
                <w:color w:val="0000FF"/>
              </w:rPr>
              <w:t>Stock Option (right to buy)</w:t>
            </w:r>
          </w:p>
        </w:tc>
        <w:tc>
          <w:tcPr>
            <w:tcW w:w="1020" w:type="dxa"/>
            <w:vAlign w:val="bottom"/>
          </w:tcPr>
          <w:p>
            <w:pPr>
              <w:jc w:val="right"/>
              <w:ind w:right="197"/>
              <w:spacing w:after="0"/>
              <w:rPr>
                <w:sz w:val="20"/>
                <w:szCs w:val="20"/>
                <w:color w:val="auto"/>
              </w:rPr>
            </w:pPr>
            <w:r>
              <w:rPr>
                <w:rFonts w:ascii="Arial" w:cs="Arial" w:eastAsia="Arial" w:hAnsi="Arial"/>
                <w:sz w:val="13"/>
                <w:szCs w:val="13"/>
                <w:color w:val="008000"/>
              </w:rPr>
              <w:t>(4)</w:t>
            </w:r>
          </w:p>
        </w:tc>
        <w:tc>
          <w:tcPr>
            <w:tcW w:w="1160" w:type="dxa"/>
            <w:vAlign w:val="bottom"/>
          </w:tcPr>
          <w:p>
            <w:pPr>
              <w:jc w:val="right"/>
              <w:ind w:right="145"/>
              <w:spacing w:after="0"/>
              <w:rPr>
                <w:sz w:val="20"/>
                <w:szCs w:val="20"/>
                <w:color w:val="auto"/>
              </w:rPr>
            </w:pPr>
            <w:r>
              <w:rPr>
                <w:rFonts w:ascii="Arial" w:cs="Arial" w:eastAsia="Arial" w:hAnsi="Arial"/>
                <w:sz w:val="15"/>
                <w:szCs w:val="15"/>
                <w:color w:val="0000FF"/>
              </w:rPr>
              <w:t>04/30/2031</w:t>
            </w:r>
          </w:p>
        </w:tc>
        <w:tc>
          <w:tcPr>
            <w:tcW w:w="1620" w:type="dxa"/>
            <w:vAlign w:val="bottom"/>
          </w:tcPr>
          <w:p>
            <w:pPr>
              <w:ind w:left="200"/>
              <w:spacing w:after="0"/>
              <w:rPr>
                <w:sz w:val="20"/>
                <w:szCs w:val="20"/>
                <w:color w:val="auto"/>
              </w:rPr>
            </w:pPr>
            <w:r>
              <w:rPr>
                <w:rFonts w:ascii="Arial" w:cs="Arial" w:eastAsia="Arial" w:hAnsi="Arial"/>
                <w:sz w:val="20"/>
                <w:szCs w:val="20"/>
                <w:color w:val="0000FF"/>
              </w:rPr>
              <w:t>Common Stock</w:t>
            </w:r>
          </w:p>
        </w:tc>
        <w:tc>
          <w:tcPr>
            <w:tcW w:w="1040" w:type="dxa"/>
            <w:vAlign w:val="bottom"/>
          </w:tcPr>
          <w:p>
            <w:pPr>
              <w:jc w:val="right"/>
              <w:ind w:right="122"/>
              <w:spacing w:after="0"/>
              <w:rPr>
                <w:sz w:val="20"/>
                <w:szCs w:val="20"/>
                <w:color w:val="auto"/>
              </w:rPr>
            </w:pPr>
            <w:r>
              <w:rPr>
                <w:rFonts w:ascii="Arial" w:cs="Arial" w:eastAsia="Arial" w:hAnsi="Arial"/>
                <w:sz w:val="20"/>
                <w:szCs w:val="20"/>
                <w:color w:val="0000FF"/>
              </w:rPr>
              <w:t>281,354</w:t>
            </w:r>
          </w:p>
        </w:tc>
        <w:tc>
          <w:tcPr>
            <w:tcW w:w="900" w:type="dxa"/>
            <w:vAlign w:val="bottom"/>
          </w:tcPr>
          <w:p>
            <w:pPr>
              <w:jc w:val="right"/>
              <w:ind w:right="262"/>
              <w:spacing w:after="0"/>
              <w:rPr>
                <w:sz w:val="20"/>
                <w:szCs w:val="20"/>
                <w:color w:val="auto"/>
              </w:rPr>
            </w:pPr>
            <w:r>
              <w:rPr>
                <w:rFonts w:ascii="Arial" w:cs="Arial" w:eastAsia="Arial" w:hAnsi="Arial"/>
                <w:sz w:val="20"/>
                <w:szCs w:val="20"/>
                <w:color w:val="0000FF"/>
              </w:rPr>
              <w:t>4.94</w:t>
            </w:r>
          </w:p>
        </w:tc>
        <w:tc>
          <w:tcPr>
            <w:tcW w:w="2360" w:type="dxa"/>
            <w:vAlign w:val="bottom"/>
          </w:tcPr>
          <w:p>
            <w:pPr>
              <w:ind w:left="360"/>
              <w:spacing w:after="0"/>
              <w:rPr>
                <w:sz w:val="20"/>
                <w:szCs w:val="20"/>
                <w:color w:val="auto"/>
              </w:rPr>
            </w:pPr>
            <w:r>
              <w:rPr>
                <w:rFonts w:ascii="Arial" w:cs="Arial" w:eastAsia="Arial" w:hAnsi="Arial"/>
                <w:sz w:val="20"/>
                <w:szCs w:val="20"/>
                <w:color w:val="0000FF"/>
              </w:rPr>
              <w:t>D</w:t>
            </w:r>
          </w:p>
        </w:tc>
      </w:tr>
      <w:tr>
        <w:trPr>
          <w:trHeight w:val="72"/>
        </w:trPr>
        <w:tc>
          <w:tcPr>
            <w:tcW w:w="28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r>
      <w:tr>
        <w:trPr>
          <w:trHeight w:val="224"/>
        </w:trPr>
        <w:tc>
          <w:tcPr>
            <w:tcW w:w="28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Exercisable upon the date of grant.</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N/A</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Converts to common stock on a one for one basis.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vests each month (1/36 each month) from the date of the grant, April 30, 2021.</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Tyler J. Vivian,</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7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8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ind w:left="820"/>
        <w:spacing w:after="0" w:line="238" w:lineRule="auto"/>
        <w:rPr>
          <w:sz w:val="20"/>
          <w:szCs w:val="20"/>
          <w:color w:val="auto"/>
        </w:rPr>
      </w:pPr>
      <w:r>
        <w:rPr>
          <w:rFonts w:ascii="Courier New" w:cs="Courier New" w:eastAsia="Courier New" w:hAnsi="Courier New"/>
          <w:sz w:val="20"/>
          <w:szCs w:val="20"/>
          <w:color w:val="auto"/>
        </w:rPr>
        <w:t>I, Martin A. Lehr, hereby authorize and designate each of</w:t>
      </w:r>
    </w:p>
    <w:p>
      <w:pPr>
        <w:spacing w:after="0" w:line="5" w:lineRule="exact"/>
        <w:rPr>
          <w:sz w:val="20"/>
          <w:szCs w:val="20"/>
          <w:color w:val="auto"/>
        </w:rPr>
      </w:pPr>
    </w:p>
    <w:p>
      <w:pPr>
        <w:ind w:left="120" w:right="739"/>
        <w:spacing w:after="0" w:line="236" w:lineRule="auto"/>
        <w:rPr>
          <w:sz w:val="20"/>
          <w:szCs w:val="20"/>
          <w:color w:val="auto"/>
        </w:rPr>
      </w:pPr>
      <w:r>
        <w:rPr>
          <w:rFonts w:ascii="Courier New" w:cs="Courier New" w:eastAsia="Courier New" w:hAnsi="Courier New"/>
          <w:sz w:val="20"/>
          <w:szCs w:val="20"/>
          <w:color w:val="auto"/>
        </w:rPr>
        <w:t>Alex C Levit, Walter J. Mostek, Jr., Tyler J. Vivian, Ben A. Stacke, Christina R. Chapin, and Amra Hoso signing singly, as my true and lawful attorney-in-fact to:</w:t>
      </w:r>
    </w:p>
    <w:p>
      <w:pPr>
        <w:spacing w:after="0" w:line="7" w:lineRule="exact"/>
        <w:rPr>
          <w:sz w:val="20"/>
          <w:szCs w:val="20"/>
          <w:color w:val="auto"/>
        </w:rPr>
      </w:pPr>
    </w:p>
    <w:p>
      <w:pPr>
        <w:ind w:left="120" w:right="839" w:firstLine="1519"/>
        <w:spacing w:after="0" w:line="264" w:lineRule="auto"/>
        <w:tabs>
          <w:tab w:leader="none" w:pos="211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my behalf, in my capacity as an officer and/or director of Context Therapeutics Inc. (the "Company"), a Form ID and Forms 3, 4 and 5 in accordance with Section 16(a) of the Securities Exchange Act of 1934 (the "Exchange Act") and the rules and regulations promulgated thereunder and other forms or reports on my behalf as may be required to be filed in connection with my ownership, acquisition, or disposition of securities of the Company, including Form 144;</w:t>
      </w:r>
    </w:p>
    <w:p>
      <w:pPr>
        <w:spacing w:after="0" w:line="5" w:lineRule="exact"/>
        <w:rPr>
          <w:rFonts w:ascii="Courier New" w:cs="Courier New" w:eastAsia="Courier New" w:hAnsi="Courier New"/>
          <w:sz w:val="18"/>
          <w:szCs w:val="18"/>
          <w:color w:val="auto"/>
        </w:rPr>
      </w:pPr>
    </w:p>
    <w:p>
      <w:pPr>
        <w:ind w:left="120" w:right="739" w:firstLine="1519"/>
        <w:spacing w:after="0" w:line="237" w:lineRule="auto"/>
        <w:tabs>
          <w:tab w:leader="none" w:pos="211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that may be necessary or desirable to complete and execute any such Form ID, Form 3, 4 or 5 or Form 144, and any amendments to any of the foregoing, and timely file any such form with the Securities and Exchange Commission and any stock exchange or similar authority; and</w:t>
      </w:r>
    </w:p>
    <w:p>
      <w:pPr>
        <w:spacing w:after="0" w:line="6" w:lineRule="exact"/>
        <w:rPr>
          <w:rFonts w:ascii="Courier New" w:cs="Courier New" w:eastAsia="Courier New" w:hAnsi="Courier New"/>
          <w:sz w:val="20"/>
          <w:szCs w:val="20"/>
          <w:color w:val="auto"/>
        </w:rPr>
      </w:pPr>
    </w:p>
    <w:p>
      <w:pPr>
        <w:ind w:left="120" w:right="839" w:firstLine="1519"/>
        <w:spacing w:after="0" w:line="237" w:lineRule="auto"/>
        <w:tabs>
          <w:tab w:leader="none" w:pos="211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9" w:lineRule="exact"/>
        <w:rPr>
          <w:rFonts w:ascii="Courier New" w:cs="Courier New" w:eastAsia="Courier New" w:hAnsi="Courier New"/>
          <w:sz w:val="20"/>
          <w:szCs w:val="20"/>
          <w:color w:val="auto"/>
        </w:rPr>
      </w:pPr>
    </w:p>
    <w:p>
      <w:pPr>
        <w:ind w:left="120" w:right="739" w:firstLine="702"/>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 or Rule 144 under the Securities Act of 1933, as amended (the "Securities Act").</w:t>
      </w:r>
    </w:p>
    <w:p>
      <w:pPr>
        <w:spacing w:after="0" w:line="5" w:lineRule="exact"/>
        <w:rPr>
          <w:rFonts w:ascii="Courier New" w:cs="Courier New" w:eastAsia="Courier New" w:hAnsi="Courier New"/>
          <w:sz w:val="20"/>
          <w:szCs w:val="20"/>
          <w:color w:val="auto"/>
        </w:rPr>
      </w:pPr>
    </w:p>
    <w:p>
      <w:pPr>
        <w:ind w:left="120" w:right="739" w:firstLine="702"/>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 ID or Forms 3, 4 and 5 or Form 144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an employee of the Company, (ii) a partner of Faegre Drinker Biddle &amp; Reath LLP or (iii) an employee of Faegre Baker Drinker Biddle &amp; Reath LLP, then this Power of Attorney shall be automatically revoked solely as to such individual, immediately upon such cessation, without any further action on my part.</w:t>
      </w:r>
    </w:p>
    <w:p>
      <w:pPr>
        <w:spacing w:after="0" w:line="8" w:lineRule="exact"/>
        <w:rPr>
          <w:rFonts w:ascii="Courier New" w:cs="Courier New" w:eastAsia="Courier New" w:hAnsi="Courier New"/>
          <w:sz w:val="20"/>
          <w:szCs w:val="20"/>
          <w:color w:val="auto"/>
        </w:rPr>
      </w:pPr>
    </w:p>
    <w:p>
      <w:pPr>
        <w:ind w:left="120" w:right="619" w:firstLine="702"/>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 hereby revoke all previous Powers of Attorney that have been granted by me in connection with my reporting obligations, if any, under Section 16 of the Exchange Act and Rule 144 under the Securities Act with respect to my holdings of and transactions in securities issued by the Company.</w:t>
      </w:r>
    </w:p>
    <w:p>
      <w:pPr>
        <w:spacing w:after="0" w:line="231" w:lineRule="exact"/>
        <w:rPr>
          <w:sz w:val="20"/>
          <w:szCs w:val="20"/>
          <w:color w:val="auto"/>
        </w:rPr>
      </w:pPr>
    </w:p>
    <w:p>
      <w:pPr>
        <w:ind w:left="120" w:right="1319" w:firstLine="702"/>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10th day of May,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Martin A. Lehr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1989" TargetMode="External"/><Relationship Id="rId11" Type="http://schemas.openxmlformats.org/officeDocument/2006/relationships/hyperlink" Target="http://www.sec.gov/cgi-bin/browse-edgar?action=getcompany&amp;CIK=0001842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2021-10-19T17:12:28Z</dcterms:created>
  <dcterms:modified xsi:type="dcterms:W3CDTF">2021-10-19T17:12:28Z</dcterms:modified>
</cp:coreProperties>
</file>