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Chagin Karen Deborah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Context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2001 MARKET ST</w:t>
            </w:r>
          </w:p>
        </w:tc>
        <w:tc>
          <w:tcPr>
            <w:tcW w:w="1120" w:type="dxa"/>
            <w:vAlign w:val="bottom"/>
          </w:tcPr>
          <w:p>
            <w:pPr>
              <w:spacing w:after="0"/>
              <w:rPr>
                <w:sz w:val="24"/>
                <w:szCs w:val="24"/>
                <w:color w:val="auto"/>
              </w:rPr>
            </w:pP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SUITE 3915 UNIT #15</w:t>
            </w:r>
          </w:p>
        </w:tc>
        <w:tc>
          <w:tcPr>
            <w:tcW w:w="11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PHILADELPHIA PA</w:t>
            </w: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20"/>
                <w:szCs w:val="20"/>
                <w:color w:val="0000FF"/>
              </w:rPr>
              <w:t>19103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Alex Levit,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Alex Levit, Jennifer Minai-Azary, Griffin D. Foster, Amra Hoso, and RoxAnn D. Mack, with full power of substitution and re-substitution, acting individually, as the undersigned’s true and lawful attorney-in-fact (each of such persons and their substitutes hereafter referred to as an “</w:t>
      </w:r>
      <w:r>
        <w:rPr>
          <w:rFonts w:ascii="Times New Roman" w:cs="Times New Roman" w:eastAsia="Times New Roman" w:hAnsi="Times New Roman"/>
          <w:sz w:val="20"/>
          <w:szCs w:val="20"/>
          <w:i w:val="1"/>
          <w:iCs w:val="1"/>
          <w:color w:val="auto"/>
        </w:rPr>
        <w:t>Attorney-in-Fact</w:t>
      </w:r>
      <w:r>
        <w:rPr>
          <w:rFonts w:ascii="Times New Roman" w:cs="Times New Roman" w:eastAsia="Times New Roman" w:hAnsi="Times New Roman"/>
          <w:sz w:val="20"/>
          <w:szCs w:val="20"/>
          <w:color w:val="auto"/>
        </w:rPr>
        <w:t>”), with full power and authority as hereinafter described on behalf of and in the undersigned’s name, place and stead, in any and all capacities to:</w:t>
      </w:r>
    </w:p>
    <w:p>
      <w:pPr>
        <w:spacing w:after="0" w:line="190" w:lineRule="exact"/>
        <w:rPr>
          <w:sz w:val="20"/>
          <w:szCs w:val="20"/>
          <w:color w:val="auto"/>
        </w:rPr>
      </w:pPr>
    </w:p>
    <w:p>
      <w:pPr>
        <w:jc w:val="both"/>
        <w:ind w:left="720" w:hanging="360"/>
        <w:spacing w:after="0" w:line="217" w:lineRule="auto"/>
        <w:tabs>
          <w:tab w:leader="none" w:pos="7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or any rule or regulation of the U.S. Securities and Exchange Commission (the “</w:t>
      </w:r>
      <w:r>
        <w:rPr>
          <w:rFonts w:ascii="Times New Roman" w:cs="Times New Roman" w:eastAsia="Times New Roman" w:hAnsi="Times New Roman"/>
          <w:sz w:val="20"/>
          <w:szCs w:val="20"/>
          <w:i w:val="1"/>
          <w:iCs w:val="1"/>
          <w:color w:val="auto"/>
        </w:rPr>
        <w:t>SEC</w:t>
      </w:r>
      <w:r>
        <w:rPr>
          <w:rFonts w:ascii="Times New Roman" w:cs="Times New Roman" w:eastAsia="Times New Roman" w:hAnsi="Times New Roman"/>
          <w:sz w:val="20"/>
          <w:szCs w:val="20"/>
          <w:color w:val="auto"/>
        </w:rPr>
        <w:t>”) via the Electronic Data Gathering and Retrieval (“</w:t>
      </w:r>
      <w:r>
        <w:rPr>
          <w:rFonts w:ascii="Times New Roman" w:cs="Times New Roman" w:eastAsia="Times New Roman" w:hAnsi="Times New Roman"/>
          <w:sz w:val="20"/>
          <w:szCs w:val="20"/>
          <w:i w:val="1"/>
          <w:iCs w:val="1"/>
          <w:color w:val="auto"/>
        </w:rPr>
        <w:t>EDGAR</w:t>
      </w:r>
      <w:r>
        <w:rPr>
          <w:rFonts w:ascii="Times New Roman" w:cs="Times New Roman" w:eastAsia="Times New Roman" w:hAnsi="Times New Roman"/>
          <w:sz w:val="20"/>
          <w:szCs w:val="20"/>
          <w:color w:val="auto"/>
        </w:rPr>
        <w:t>”) system, including (i) preparing, executing in the undersigned’s name and on the undersigned’s behalf, and submitting to the SEC a Form ID (and any amendments thereto) or any other documents necessary or appropriate to obtain such credentials and legally bind the undersigned for purpose of the Form ID or such other documents; and (ii) enrolling the undersigned in EDGAR Next or any successor filing system;</w:t>
      </w:r>
    </w:p>
    <w:p>
      <w:pPr>
        <w:spacing w:after="0" w:line="180" w:lineRule="exact"/>
        <w:rPr>
          <w:rFonts w:ascii="Times New Roman" w:cs="Times New Roman" w:eastAsia="Times New Roman" w:hAnsi="Times New Roman"/>
          <w:sz w:val="20"/>
          <w:szCs w:val="20"/>
          <w:color w:val="auto"/>
        </w:rPr>
      </w:pPr>
    </w:p>
    <w:p>
      <w:pPr>
        <w:jc w:val="both"/>
        <w:ind w:left="720" w:hanging="360"/>
        <w:spacing w:after="0" w:line="223" w:lineRule="auto"/>
        <w:tabs>
          <w:tab w:leader="none" w:pos="7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73" w:lineRule="exact"/>
        <w:rPr>
          <w:rFonts w:ascii="Times New Roman" w:cs="Times New Roman" w:eastAsia="Times New Roman" w:hAnsi="Times New Roman"/>
          <w:sz w:val="20"/>
          <w:szCs w:val="20"/>
          <w:color w:val="auto"/>
        </w:rPr>
      </w:pPr>
    </w:p>
    <w:p>
      <w:pPr>
        <w:jc w:val="both"/>
        <w:ind w:left="720" w:hanging="360"/>
        <w:spacing w:after="0" w:line="225" w:lineRule="auto"/>
        <w:tabs>
          <w:tab w:leader="none" w:pos="7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Context Therapeutics Inc.,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and Faegre Drinker Biddle &amp; Reath LLP (“</w:t>
      </w:r>
      <w:r>
        <w:rPr>
          <w:rFonts w:ascii="Times New Roman" w:cs="Times New Roman" w:eastAsia="Times New Roman" w:hAnsi="Times New Roman"/>
          <w:sz w:val="20"/>
          <w:szCs w:val="20"/>
          <w:i w:val="1"/>
          <w:iCs w:val="1"/>
          <w:color w:val="auto"/>
        </w:rPr>
        <w:t>Faegre Drinker</w:t>
      </w:r>
      <w:r>
        <w:rPr>
          <w:rFonts w:ascii="Times New Roman" w:cs="Times New Roman" w:eastAsia="Times New Roman" w:hAnsi="Times New Roman"/>
          <w:sz w:val="20"/>
          <w:szCs w:val="20"/>
          <w:color w:val="auto"/>
        </w:rPr>
        <w:t>”) to accept a delegation of authority from the undersigned’s EDGAR account administrators and authorize each such delegate’s EDGAR account administrators pursuant to that delegated entity designation to appoint, remove or replace users for the undersigned’s EDGAR account;</w:t>
      </w:r>
    </w:p>
    <w:p>
      <w:pPr>
        <w:spacing w:after="0" w:line="177" w:lineRule="exact"/>
        <w:rPr>
          <w:rFonts w:ascii="Times New Roman" w:cs="Times New Roman" w:eastAsia="Times New Roman" w:hAnsi="Times New Roman"/>
          <w:sz w:val="20"/>
          <w:szCs w:val="20"/>
          <w:color w:val="auto"/>
        </w:rPr>
      </w:pPr>
    </w:p>
    <w:p>
      <w:pPr>
        <w:jc w:val="both"/>
        <w:ind w:left="720" w:hanging="360"/>
        <w:spacing w:after="0" w:line="220" w:lineRule="auto"/>
        <w:tabs>
          <w:tab w:leader="none" w:pos="7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Exchange Act the rules and regulations promulgated thereunder, and Forms 144 in accordance with Rule 144 under the Securities Act of 1933, as amended (the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720" w:hanging="360"/>
        <w:spacing w:after="0" w:line="224" w:lineRule="auto"/>
        <w:tabs>
          <w:tab w:leader="none" w:pos="7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p>
    <w:p>
      <w:pPr>
        <w:spacing w:after="0" w:line="191" w:lineRule="exact"/>
        <w:rPr>
          <w:rFonts w:ascii="Times New Roman" w:cs="Times New Roman" w:eastAsia="Times New Roman" w:hAnsi="Times New Roman"/>
          <w:sz w:val="20"/>
          <w:szCs w:val="20"/>
          <w:color w:val="auto"/>
        </w:rPr>
      </w:pPr>
    </w:p>
    <w:p>
      <w:pPr>
        <w:jc w:val="both"/>
        <w:ind w:left="720" w:hanging="360"/>
        <w:spacing w:after="0" w:line="224" w:lineRule="auto"/>
        <w:tabs>
          <w:tab w:leader="none" w:pos="7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p>
    <w:p>
      <w:pPr>
        <w:spacing w:after="0" w:line="176" w:lineRule="exact"/>
        <w:rPr>
          <w:rFonts w:ascii="Times New Roman" w:cs="Times New Roman" w:eastAsia="Times New Roman" w:hAnsi="Times New Roman"/>
          <w:sz w:val="20"/>
          <w:szCs w:val="20"/>
          <w:color w:val="auto"/>
        </w:rPr>
      </w:pPr>
    </w:p>
    <w:p>
      <w:pPr>
        <w:jc w:val="both"/>
        <w:ind w:left="720" w:hanging="360"/>
        <w:spacing w:after="0" w:line="220" w:lineRule="auto"/>
        <w:tabs>
          <w:tab w:leader="none" w:pos="7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Limited Power of Attorney will be in such form and will contain such disclosure, information, terms and conditions as such Attorney-in-Fact, in such Attorney-in-Fact’s sole discretion, deems necessary or advisable.</w:t>
      </w:r>
    </w:p>
    <w:p>
      <w:pPr>
        <w:sectPr>
          <w:pgSz w:w="11900" w:h="16838" w:orient="portrait"/>
          <w:cols w:equalWidth="0" w:num="1">
            <w:col w:w="10940"/>
          </w:cols>
          <w:pgMar w:left="480" w:top="125" w:right="479" w:bottom="1440" w:gutter="0" w:footer="0" w:header="0"/>
        </w:sectPr>
      </w:pPr>
    </w:p>
    <w:bookmarkStart w:id="2" w:name="page3"/>
    <w:bookmarkEnd w:id="2"/>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undersigned hereby acknowledges that (a) the foregoing Attorneys-in-Fact are serving in such capacity at the request of the undersigned; (b) this Limited Power of Attorney authorizes, but does not require, each such Attorney-in-Fact to act in the Attorney-in-Fact’s discretion on information provided to such Attorney-in-Fact without independent verification of such information; (c) neither the Company, Faegre Drinker, nor any Attorney-in-Fact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Limited Power of Attorney does not relieve the undersigned from responsibility for compliance with the undersigned’s obligations under the Exchange Act and the Securities Act, including, without limitation, the reporting requirements under Section 16 of the Exchange Act.</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Limited Power of Attorney will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then this Limited Power of Attorney will be automatically revoked solely as to such individual, immediately upon such cessation, without any further action by the undersigned.</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hereby revokes all previous powers of attorney that had been granted by or on their behalf in connection with reporting obligations, if any, under Section 16 of the Exchange Act and Rule 144 under the Securities Act with respect to holdings of and transactions in securities issued by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Limited Power of Attorney to be executed as of May 22, 2025.</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Karen Deborah Chagin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Karen Deborah Chagin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PENNSYLVANIA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MONTGOMERY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instrument was acknowledged before me on May 22, 2025 by signatory.</w:t>
      </w:r>
    </w:p>
    <w:p>
      <w:pPr>
        <w:spacing w:after="0" w:line="28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u w:val="single" w:color="auto"/>
          <w:color w:val="auto"/>
        </w:rPr>
        <w:t>/s/ Ryan Graham</w:t>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Ryan Graham</w:t>
      </w:r>
    </w:p>
    <w:p>
      <w:pPr>
        <w:spacing w:after="0" w:line="1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Notary Public</w:t>
      </w:r>
    </w:p>
    <w:p>
      <w:pPr>
        <w:spacing w:after="0" w:line="1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My Commission Expires: 7/20/27</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70710" TargetMode="External"/><Relationship Id="rId11" Type="http://schemas.openxmlformats.org/officeDocument/2006/relationships/hyperlink" Target="http://www.sec.gov/cgi-bin/browse-edgar?action=getcompany&amp;CIK=0001842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2025-06-09T16:16:32Z</dcterms:created>
  <dcterms:modified xsi:type="dcterms:W3CDTF">2025-06-09T16:16:32Z</dcterms:modified>
</cp:coreProperties>
</file>